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95" w:rsidRPr="000C62C8" w:rsidRDefault="008A15BD">
      <w:pPr>
        <w:spacing w:after="0"/>
        <w:jc w:val="both"/>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rPr>
        <w:t>MỘT SỐ CHÍNH SÁCH CÓ HIỆU LỰC TỪ</w:t>
      </w:r>
      <w:r w:rsidR="000C62C8">
        <w:rPr>
          <w:rFonts w:ascii="Times New Roman" w:hAnsi="Times New Roman" w:cs="Times New Roman"/>
          <w:b/>
          <w:sz w:val="28"/>
          <w:szCs w:val="28"/>
        </w:rPr>
        <w:t xml:space="preserve"> THÁNG </w:t>
      </w:r>
      <w:r w:rsidR="000C62C8">
        <w:rPr>
          <w:rFonts w:ascii="Times New Roman" w:hAnsi="Times New Roman" w:cs="Times New Roman"/>
          <w:b/>
          <w:sz w:val="28"/>
          <w:szCs w:val="28"/>
          <w:lang w:val="en-US"/>
        </w:rPr>
        <w:t>01</w:t>
      </w:r>
      <w:r>
        <w:rPr>
          <w:rFonts w:ascii="Times New Roman" w:hAnsi="Times New Roman" w:cs="Times New Roman"/>
          <w:b/>
          <w:sz w:val="28"/>
          <w:szCs w:val="28"/>
        </w:rPr>
        <w:t>/202</w:t>
      </w:r>
      <w:r w:rsidR="000C62C8">
        <w:rPr>
          <w:rFonts w:ascii="Times New Roman" w:hAnsi="Times New Roman" w:cs="Times New Roman"/>
          <w:b/>
          <w:sz w:val="28"/>
          <w:szCs w:val="28"/>
          <w:lang w:val="en-US"/>
        </w:rPr>
        <w:t>6</w:t>
      </w:r>
    </w:p>
    <w:p w:rsidR="00F65695" w:rsidRDefault="008A15BD">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(Kèm theo Công văn số:</w:t>
      </w:r>
      <w:r w:rsidR="007B505E">
        <w:rPr>
          <w:rFonts w:ascii="Times New Roman" w:hAnsi="Times New Roman" w:cs="Times New Roman"/>
          <w:i/>
          <w:sz w:val="28"/>
          <w:szCs w:val="28"/>
          <w:lang w:val="en-US"/>
        </w:rPr>
        <w:t xml:space="preserve">        </w:t>
      </w:r>
      <w:r>
        <w:rPr>
          <w:rFonts w:ascii="Times New Roman" w:hAnsi="Times New Roman" w:cs="Times New Roman"/>
          <w:i/>
          <w:sz w:val="28"/>
          <w:szCs w:val="28"/>
        </w:rPr>
        <w:t xml:space="preserve">/UBND-VP ngày </w:t>
      </w:r>
      <w:r w:rsidR="006F462C">
        <w:rPr>
          <w:rFonts w:ascii="Times New Roman" w:hAnsi="Times New Roman" w:cs="Times New Roman"/>
          <w:i/>
          <w:sz w:val="28"/>
          <w:szCs w:val="28"/>
          <w:lang w:val="en-US"/>
        </w:rPr>
        <w:t>3</w:t>
      </w:r>
      <w:r w:rsidR="007B505E">
        <w:rPr>
          <w:rFonts w:ascii="Times New Roman" w:hAnsi="Times New Roman" w:cs="Times New Roman"/>
          <w:i/>
          <w:sz w:val="28"/>
          <w:szCs w:val="28"/>
          <w:lang w:val="en-US"/>
        </w:rPr>
        <w:t>1</w:t>
      </w:r>
      <w:r w:rsidR="00E778E5">
        <w:rPr>
          <w:rFonts w:ascii="Times New Roman" w:hAnsi="Times New Roman" w:cs="Times New Roman"/>
          <w:i/>
          <w:sz w:val="28"/>
          <w:szCs w:val="28"/>
          <w:lang w:val="en-US"/>
        </w:rPr>
        <w:t>/12</w:t>
      </w:r>
      <w:r>
        <w:rPr>
          <w:rFonts w:ascii="Times New Roman" w:hAnsi="Times New Roman" w:cs="Times New Roman"/>
          <w:i/>
          <w:sz w:val="28"/>
          <w:szCs w:val="28"/>
          <w:lang w:val="en-US"/>
        </w:rPr>
        <w:t>/202</w:t>
      </w:r>
      <w:r w:rsidR="00217383">
        <w:rPr>
          <w:rFonts w:ascii="Times New Roman" w:hAnsi="Times New Roman" w:cs="Times New Roman"/>
          <w:i/>
          <w:sz w:val="28"/>
          <w:szCs w:val="28"/>
          <w:lang w:val="en-US"/>
        </w:rPr>
        <w:t>5</w:t>
      </w:r>
    </w:p>
    <w:p w:rsidR="00F65695" w:rsidRDefault="008A15BD">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của Ủy ban nhân dân phường </w:t>
      </w:r>
      <w:r w:rsidR="007B505E">
        <w:rPr>
          <w:rFonts w:ascii="Times New Roman" w:hAnsi="Times New Roman" w:cs="Times New Roman"/>
          <w:i/>
          <w:sz w:val="28"/>
          <w:szCs w:val="28"/>
          <w:lang w:val="en-GB"/>
        </w:rPr>
        <w:t>Hải Ninh</w:t>
      </w:r>
      <w:r>
        <w:rPr>
          <w:rFonts w:ascii="Times New Roman" w:hAnsi="Times New Roman" w:cs="Times New Roman"/>
          <w:i/>
          <w:sz w:val="28"/>
          <w:szCs w:val="28"/>
        </w:rPr>
        <w:t>)</w:t>
      </w:r>
    </w:p>
    <w:p w:rsidR="00F65695" w:rsidRDefault="008A15BD">
      <w:pPr>
        <w:spacing w:after="0"/>
        <w:jc w:val="both"/>
        <w:rPr>
          <w:rFonts w:ascii="Times New Roman" w:hAnsi="Times New Roman" w:cs="Times New Roman"/>
          <w:sz w:val="28"/>
          <w:szCs w:val="28"/>
        </w:rPr>
      </w:pPr>
      <w:r>
        <w:rPr>
          <w:rFonts w:ascii="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2354580</wp:posOffset>
                </wp:positionH>
                <wp:positionV relativeFrom="paragraph">
                  <wp:posOffset>28575</wp:posOffset>
                </wp:positionV>
                <wp:extent cx="10801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chemeClr val="dk1">
                              <a:lumMod val="95000"/>
                              <a:lumOff val="0"/>
                            </a:schemeClr>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5.4pt;margin-top:2.25pt;height:0pt;width:85.05pt;z-index:251659264;mso-width-relative:page;mso-height-relative:page;" filled="f" stroked="t" coordsize="21600,21600" o:gfxdata="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pIiWHVAAAA&#10;BwEAAA8AAAAAAAAAAQAgAAAAIgAAAGRycy9kb3ducmV2LnhtbFBLAQIUABQAAAAIAIdO4kBrgshG&#10;5wEAAOIDAAAOAAAAAAAAAAEAIAAAACQBAABkcnMvZTJvRG9jLnhtbFBLBQYAAAAABgAGAFkBAAB9&#10;BQAAAAA=&#10;">
                <v:fill on="f" focussize="0,0"/>
                <v:stroke color="#000000 [3200]" joinstyle="round"/>
                <v:imagedata o:title=""/>
                <o:lock v:ext="edit" aspectratio="f"/>
              </v:line>
            </w:pict>
          </mc:Fallback>
        </mc:AlternateContent>
      </w:r>
    </w:p>
    <w:p w:rsidR="00F65695" w:rsidRPr="00D5070D" w:rsidRDefault="008A15BD" w:rsidP="008630DB">
      <w:pPr>
        <w:spacing w:before="80" w:after="0"/>
        <w:ind w:firstLine="720"/>
        <w:jc w:val="both"/>
        <w:rPr>
          <w:rFonts w:ascii="Times New Roman" w:hAnsi="Times New Roman" w:cs="Times New Roman"/>
          <w:spacing w:val="-4"/>
          <w:sz w:val="28"/>
          <w:szCs w:val="28"/>
        </w:rPr>
      </w:pPr>
      <w:r w:rsidRPr="00D5070D">
        <w:rPr>
          <w:rFonts w:ascii="Times New Roman" w:hAnsi="Times New Roman" w:cs="Times New Roman"/>
          <w:spacing w:val="-4"/>
          <w:sz w:val="28"/>
          <w:szCs w:val="28"/>
        </w:rPr>
        <w:t xml:space="preserve">Trong tháng </w:t>
      </w:r>
      <w:r w:rsidR="00941C02" w:rsidRPr="00D5070D">
        <w:rPr>
          <w:rFonts w:ascii="Times New Roman" w:hAnsi="Times New Roman" w:cs="Times New Roman"/>
          <w:spacing w:val="-4"/>
          <w:sz w:val="28"/>
          <w:szCs w:val="28"/>
          <w:lang w:val="en-US"/>
        </w:rPr>
        <w:t xml:space="preserve">01 năm </w:t>
      </w:r>
      <w:r w:rsidR="00FA25AA" w:rsidRPr="00D5070D">
        <w:rPr>
          <w:rFonts w:ascii="Times New Roman" w:hAnsi="Times New Roman" w:cs="Times New Roman"/>
          <w:spacing w:val="-4"/>
          <w:sz w:val="28"/>
          <w:szCs w:val="28"/>
          <w:lang w:val="en-US"/>
        </w:rPr>
        <w:t>2026</w:t>
      </w:r>
      <w:r w:rsidR="00C5283B" w:rsidRPr="00D5070D">
        <w:rPr>
          <w:rFonts w:ascii="Times New Roman" w:hAnsi="Times New Roman" w:cs="Times New Roman"/>
          <w:spacing w:val="-4"/>
          <w:sz w:val="28"/>
          <w:szCs w:val="28"/>
        </w:rPr>
        <w:t xml:space="preserve"> có </w:t>
      </w:r>
      <w:r w:rsidR="0026697E" w:rsidRPr="00D5070D">
        <w:rPr>
          <w:rFonts w:ascii="Times New Roman" w:hAnsi="Times New Roman" w:cs="Times New Roman"/>
          <w:spacing w:val="-4"/>
          <w:sz w:val="28"/>
          <w:szCs w:val="28"/>
          <w:lang w:val="en-US"/>
        </w:rPr>
        <w:t>2</w:t>
      </w:r>
      <w:r w:rsidR="00873E39" w:rsidRPr="00D5070D">
        <w:rPr>
          <w:rFonts w:ascii="Times New Roman" w:hAnsi="Times New Roman" w:cs="Times New Roman"/>
          <w:spacing w:val="-4"/>
          <w:sz w:val="28"/>
          <w:szCs w:val="28"/>
          <w:lang w:val="en-US"/>
        </w:rPr>
        <w:t>8</w:t>
      </w:r>
      <w:r w:rsidR="00FA25AA" w:rsidRPr="00D5070D">
        <w:rPr>
          <w:rFonts w:ascii="Times New Roman" w:hAnsi="Times New Roman" w:cs="Times New Roman"/>
          <w:spacing w:val="-4"/>
          <w:sz w:val="28"/>
          <w:szCs w:val="28"/>
          <w:lang w:val="en-US"/>
        </w:rPr>
        <w:t xml:space="preserve"> Luật, </w:t>
      </w:r>
      <w:r w:rsidR="001D0123" w:rsidRPr="00D5070D">
        <w:rPr>
          <w:rFonts w:ascii="Times New Roman" w:hAnsi="Times New Roman" w:cs="Times New Roman"/>
          <w:spacing w:val="-4"/>
          <w:sz w:val="28"/>
          <w:szCs w:val="28"/>
          <w:lang w:val="en-US"/>
        </w:rPr>
        <w:t xml:space="preserve">12 Nghị định, 19 Thông tư, </w:t>
      </w:r>
      <w:r w:rsidR="0014061D" w:rsidRPr="00D5070D">
        <w:rPr>
          <w:rFonts w:ascii="Times New Roman" w:hAnsi="Times New Roman" w:cs="Times New Roman"/>
          <w:spacing w:val="-4"/>
          <w:sz w:val="28"/>
          <w:szCs w:val="28"/>
          <w:lang w:val="en-US"/>
        </w:rPr>
        <w:t>14 Nghị quyết</w:t>
      </w:r>
      <w:r w:rsidR="00E621D5" w:rsidRPr="00D5070D">
        <w:rPr>
          <w:rFonts w:ascii="Times New Roman" w:hAnsi="Times New Roman" w:cs="Times New Roman"/>
          <w:spacing w:val="-4"/>
          <w:sz w:val="28"/>
          <w:szCs w:val="28"/>
        </w:rPr>
        <w:t xml:space="preserve"> </w:t>
      </w:r>
      <w:r w:rsidRPr="00D5070D">
        <w:rPr>
          <w:rFonts w:ascii="Times New Roman" w:hAnsi="Times New Roman" w:cs="Times New Roman"/>
          <w:spacing w:val="-4"/>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rsidR="00FA25AA" w:rsidRPr="00D5070D" w:rsidRDefault="00941C02" w:rsidP="008630DB">
      <w:pPr>
        <w:pStyle w:val="Heading1"/>
        <w:keepNext w:val="0"/>
        <w:keepLines w:val="0"/>
        <w:spacing w:before="80"/>
        <w:ind w:firstLine="720"/>
        <w:jc w:val="both"/>
        <w:rPr>
          <w:rFonts w:ascii="Times New Roman" w:hAnsi="Times New Roman" w:cs="Times New Roman"/>
          <w:color w:val="auto"/>
          <w:lang w:val="en-US"/>
        </w:rPr>
      </w:pPr>
      <w:r w:rsidRPr="00D5070D">
        <w:rPr>
          <w:rFonts w:ascii="Times New Roman" w:hAnsi="Times New Roman" w:cs="Times New Roman"/>
          <w:color w:val="auto"/>
          <w:lang w:val="en-US"/>
        </w:rPr>
        <w:t>1.</w:t>
      </w:r>
      <w:r w:rsidR="00284EE3" w:rsidRPr="00D5070D">
        <w:rPr>
          <w:rFonts w:ascii="Times New Roman" w:hAnsi="Times New Roman" w:cs="Times New Roman"/>
          <w:color w:val="auto"/>
          <w:lang w:val="en-US"/>
        </w:rPr>
        <w:t xml:space="preserve"> </w:t>
      </w:r>
      <w:r w:rsidR="00FA25AA" w:rsidRPr="00D5070D">
        <w:rPr>
          <w:rFonts w:ascii="Times New Roman" w:hAnsi="Times New Roman" w:cs="Times New Roman"/>
          <w:color w:val="auto"/>
          <w:lang w:val="en-US"/>
        </w:rPr>
        <w:t xml:space="preserve">Luật Việc làm </w:t>
      </w:r>
      <w:r w:rsidR="00FA25AA" w:rsidRPr="00D5070D">
        <w:rPr>
          <w:rFonts w:ascii="Times New Roman" w:hAnsi="Times New Roman" w:cs="Times New Roman"/>
          <w:color w:val="auto"/>
        </w:rPr>
        <w:t>số 74/2025/QH15 được Quốc hội khoá XV thông qua ngày 16/6/2025</w:t>
      </w:r>
    </w:p>
    <w:p w:rsidR="00FA25AA" w:rsidRPr="00D5070D" w:rsidRDefault="008E27F4" w:rsidP="008630DB">
      <w:pPr>
        <w:pStyle w:val="Heading1"/>
        <w:keepNext w:val="0"/>
        <w:keepLines w:val="0"/>
        <w:spacing w:before="80"/>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 xml:space="preserve">Luật </w:t>
      </w:r>
      <w:r w:rsidR="00A270D8" w:rsidRPr="00D5070D">
        <w:rPr>
          <w:rFonts w:ascii="Times New Roman" w:hAnsi="Times New Roman" w:cs="Times New Roman"/>
          <w:b w:val="0"/>
          <w:color w:val="auto"/>
          <w:lang w:val="en-US"/>
        </w:rPr>
        <w:t xml:space="preserve">Việc làm năm 2025 </w:t>
      </w:r>
      <w:r w:rsidR="00FA25AA" w:rsidRPr="00D5070D">
        <w:rPr>
          <w:rFonts w:ascii="Times New Roman" w:hAnsi="Times New Roman" w:cs="Times New Roman"/>
          <w:b w:val="0"/>
          <w:color w:val="auto"/>
        </w:rPr>
        <w:t>quy định chính sách hỗ trợ tạo việc làm, đăng ký lao động, hệ thống thông tin thị trường lao động, phát triển kỹ năng nghề, dịch vụ việc làm, bảo hiểm thất nghiệp, quản lý nhà nước về việc làm và áp dụng đối với tất cả người lao động là công dân Việt Nam từ đủ 15 tuổi trở lên có khả năng lao động và có nhu cầu làm việc (bao gồm cả người lao động có quan hệ lao động và người lao động không có quan hệ lao động, người thất nghiệp).</w:t>
      </w:r>
    </w:p>
    <w:p w:rsidR="008E27F4" w:rsidRPr="00D5070D" w:rsidRDefault="00FA25AA" w:rsidP="008630DB">
      <w:pPr>
        <w:pStyle w:val="Heading1"/>
        <w:keepNext w:val="0"/>
        <w:keepLines w:val="0"/>
        <w:spacing w:before="40" w:line="264" w:lineRule="auto"/>
        <w:ind w:firstLine="720"/>
        <w:jc w:val="both"/>
        <w:rPr>
          <w:rFonts w:ascii="Times New Roman" w:hAnsi="Times New Roman" w:cs="Times New Roman"/>
          <w:color w:val="auto"/>
          <w:lang w:val="en-US"/>
        </w:rPr>
      </w:pPr>
      <w:r w:rsidRPr="00D5070D">
        <w:rPr>
          <w:rFonts w:ascii="Times New Roman" w:hAnsi="Times New Roman" w:cs="Times New Roman"/>
          <w:b w:val="0"/>
          <w:bCs w:val="0"/>
          <w:color w:val="auto"/>
        </w:rPr>
        <w:t>Luật Việc làm năm 2025 đã tập trung sửa đổi các nội dung lớn, trọng tâm như: </w:t>
      </w:r>
      <w:r w:rsidRPr="00D5070D">
        <w:rPr>
          <w:rFonts w:ascii="Times New Roman" w:hAnsi="Times New Roman" w:cs="Times New Roman"/>
          <w:b w:val="0"/>
          <w:color w:val="auto"/>
        </w:rPr>
        <w:t>mở rộng đối tượng tham gia bảo hiểm thất nghiệp nhằm tăng cường diện bao phủ chính sách và phù hợp với Luật Bảo hiểm xã hội năm 2024; linh hoạt mức đóng bảo hiểm thất nghiệp (tối đa bằng 1% tiền lương tháng); đơn giản hoá điều kiện, giảm thủ tục hành chính cho người lao động và người sử dụng lao động trong tiếp cận và thụ hưởng các chế độ bảo hiểm thất nghiệp (Tư vấn, giới thiệu việc làm; Hỗ trợ người lao động tham gia đào tạo, nâng cao trình độ kỹ năng nghề; Trợ cấp thất nghiệp; Hỗ trợ người sử dụng lao động đào tạo, bồi dưỡng, nâng cao trình độ kỹ năng nghề để duy trì việc làm cho người lao động)</w:t>
      </w:r>
      <w:r w:rsidRPr="00D5070D">
        <w:rPr>
          <w:rFonts w:ascii="Times New Roman" w:hAnsi="Times New Roman" w:cs="Times New Roman"/>
          <w:b w:val="0"/>
          <w:color w:val="auto"/>
          <w:lang w:val="en-US"/>
        </w:rPr>
        <w:t>.</w:t>
      </w:r>
      <w:r w:rsidR="00CA7E30" w:rsidRPr="00D5070D">
        <w:rPr>
          <w:rFonts w:ascii="Times New Roman" w:hAnsi="Times New Roman" w:cs="Times New Roman"/>
          <w:lang w:val="en-US"/>
        </w:rPr>
        <w:tab/>
      </w:r>
      <w:r w:rsidR="00941C02" w:rsidRPr="00D5070D">
        <w:rPr>
          <w:rFonts w:ascii="Times New Roman" w:hAnsi="Times New Roman" w:cs="Times New Roman"/>
          <w:color w:val="auto"/>
          <w:lang w:val="en-US"/>
        </w:rPr>
        <w:t>2.</w:t>
      </w:r>
      <w:r w:rsidR="00C06130" w:rsidRPr="00D5070D">
        <w:rPr>
          <w:rFonts w:ascii="Times New Roman" w:hAnsi="Times New Roman" w:cs="Times New Roman"/>
          <w:color w:val="auto"/>
        </w:rPr>
        <w:t xml:space="preserve"> Luật Bảo vệ dữ liệu cá nhân 2025</w:t>
      </w:r>
      <w:r w:rsidR="00C06130" w:rsidRPr="00D5070D">
        <w:rPr>
          <w:rFonts w:ascii="Times New Roman" w:hAnsi="Times New Roman" w:cs="Times New Roman"/>
          <w:color w:val="auto"/>
          <w:lang w:val="en-US"/>
        </w:rPr>
        <w:t>,</w:t>
      </w:r>
      <w:r w:rsidR="00C06130" w:rsidRPr="00D5070D">
        <w:rPr>
          <w:rFonts w:ascii="Times New Roman" w:hAnsi="Times New Roman" w:cs="Times New Roman"/>
          <w:color w:val="auto"/>
        </w:rPr>
        <w:t xml:space="preserve"> số 91/2025/QH15</w:t>
      </w:r>
      <w:r w:rsidR="00C06130" w:rsidRPr="00D5070D">
        <w:rPr>
          <w:rFonts w:ascii="Times New Roman" w:hAnsi="Times New Roman" w:cs="Times New Roman"/>
          <w:color w:val="auto"/>
          <w:lang w:val="en-US"/>
        </w:rPr>
        <w:t xml:space="preserve"> được Quốc hội</w:t>
      </w:r>
      <w:r w:rsidR="005B180E" w:rsidRPr="00D5070D">
        <w:rPr>
          <w:rFonts w:ascii="Times New Roman" w:hAnsi="Times New Roman" w:cs="Times New Roman"/>
          <w:color w:val="auto"/>
          <w:lang w:val="en-US"/>
        </w:rPr>
        <w:t xml:space="preserve"> thông qua ngày 26/6/2025</w:t>
      </w:r>
    </w:p>
    <w:p w:rsidR="008E27F4" w:rsidRPr="00D5070D"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Theo đó, có một số quy định đáng chú ý như nghiêm cấm mua bán dữ liệu cá nhân; doanh nghiệp phải xóa dữ liệu cá nhân người lao động sau khi chấm dứt hợp đồng; mạng xã hội không được yêu cầu cung cấp hình ảnh, video chứa nội dung về giấy tờ tùy thân làm yếu tố xác thực...</w:t>
      </w:r>
    </w:p>
    <w:p w:rsidR="008E27F4" w:rsidRPr="00D5070D"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Trong đó, Khoản 2 Điều 25 quy định về trách nhiệm bảo vệ dữ liệu cá nhân của cơ quan, tổ chức, cá nhân trong quản lý, sử dụng người lao động. Theo đó, doanh nghiệp sau khi chấm dứt hợp đồng phải có trách nhiệm:</w:t>
      </w:r>
    </w:p>
    <w:p w:rsidR="008E27F4" w:rsidRPr="00D5070D"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 Tuân thủ quy định của Luật này, pháp luật về lao động, việc làm, pháp luật về dữ liệu và quy định khác của pháp luật có liên quan;</w:t>
      </w:r>
    </w:p>
    <w:p w:rsidR="008E27F4" w:rsidRPr="00D5070D"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 Dữ liệu cá nhân của người lao động phải lưu trữ trong thời hạn theo quy định của pháp luật hoặc theo thỏa thuận;</w:t>
      </w:r>
    </w:p>
    <w:p w:rsidR="00A35678" w:rsidRPr="00D5070D"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lastRenderedPageBreak/>
        <w:t>- Phải xóa, hủy dữ liệu cá nhân của người lao động khi chấm dứt hợp đồng, trừ trường hợp theo thỏa thuận hoặc pháp luật có quy định khác.</w:t>
      </w:r>
    </w:p>
    <w:p w:rsidR="00A35678" w:rsidRPr="00D5070D" w:rsidRDefault="00941C02" w:rsidP="008630DB">
      <w:pPr>
        <w:pStyle w:val="Heading1"/>
        <w:keepNext w:val="0"/>
        <w:keepLines w:val="0"/>
        <w:spacing w:before="40" w:line="264" w:lineRule="auto"/>
        <w:ind w:firstLine="720"/>
        <w:jc w:val="both"/>
        <w:rPr>
          <w:rFonts w:ascii="Times New Roman" w:hAnsi="Times New Roman" w:cs="Times New Roman"/>
          <w:color w:val="auto"/>
          <w:lang w:val="en-US"/>
        </w:rPr>
      </w:pPr>
      <w:r w:rsidRPr="00D5070D">
        <w:rPr>
          <w:rFonts w:ascii="Times New Roman" w:hAnsi="Times New Roman" w:cs="Times New Roman"/>
          <w:color w:val="auto"/>
          <w:lang w:val="en-US"/>
        </w:rPr>
        <w:t>3.</w:t>
      </w:r>
      <w:r w:rsidR="008E27F4" w:rsidRPr="00D5070D">
        <w:rPr>
          <w:rFonts w:ascii="Times New Roman" w:hAnsi="Times New Roman" w:cs="Times New Roman"/>
          <w:color w:val="auto"/>
        </w:rPr>
        <w:t xml:space="preserve"> Luật Nhà giáo 2025, số 73/2025/QH15</w:t>
      </w:r>
      <w:r w:rsidR="00687CCF" w:rsidRPr="00D5070D">
        <w:rPr>
          <w:rFonts w:ascii="Times New Roman" w:hAnsi="Times New Roman" w:cs="Times New Roman"/>
          <w:color w:val="auto"/>
          <w:lang w:val="en-US"/>
        </w:rPr>
        <w:t xml:space="preserve"> được Quốc hội thông qua ngày 16/6/2025</w:t>
      </w:r>
    </w:p>
    <w:p w:rsidR="00A35678" w:rsidRPr="00D5070D" w:rsidRDefault="008E27F4"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Trong đó, Luật Nhà giáo quy định tất cả nhà giáo cả công lập và ngoài công lập được hưởng chế độ trợ cấp theo tính chất công việc, theo vùng; chế độ hỗ trợ đào tạo, bồi dưỡng; chế độ hỗ trợ chăm sóc sức khỏe định kỳ, chăm sóc sức khỏe nghề nghiệp; được bố trí nhà ở công vụ hoặc chỗ ở tập thể hoặc hỗ trợ tiền thuê nhà khi công tác ở vùng đặc biệt khó khăn.</w:t>
      </w:r>
    </w:p>
    <w:p w:rsidR="00A35678" w:rsidRPr="00D5070D" w:rsidRDefault="008E27F4"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Đồng thời, có chính sách thu hút, trọng dụng đối với người có trình độ cao, có tài năng, có năng khiếu đặc biệt, có kỹ năng nghề cao; đến làm việc tại vùng đặc biệt khó khăn; nhà giáo trong một số lĩnh vực trọng yếu, thiết yếu…</w:t>
      </w:r>
    </w:p>
    <w:p w:rsidR="00A35678" w:rsidRPr="00D5070D" w:rsidRDefault="008E27F4"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Cùng với chế độ tiền lương, các chính sách đãi ngộ, hỗ trợ, thu hút nhà giáo là giải pháp tổng thể nhằm thu hút người giỏi vào ngành sư phạm, thu hút người giỏi ở các ngành nghề trọng yếu trở thành nhà giáo, thu hút nhà giáo về các vùng khó khăn công tác, bảo đảm chất lượng đồng đều giữa các vùng miền và giữ chân nhà giáo công tác lâu năm trong Ngành.</w:t>
      </w:r>
    </w:p>
    <w:p w:rsidR="008E27F4" w:rsidRPr="00D5070D" w:rsidRDefault="008E27F4" w:rsidP="008630DB">
      <w:pPr>
        <w:pStyle w:val="Heading1"/>
        <w:keepNext w:val="0"/>
        <w:keepLines w:val="0"/>
        <w:spacing w:before="40" w:line="27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Bên cạnh đó, Luật Nhà giáo quy định: giáo viên mầm non nếu có nguyện vọng thì được nghỉ hưu ở tuổi thấp hơn không quá 5 năm so với quy định của Bộ luật Lao động và không bị giảm tỷ lệ phần trăm hưởng lương hưu do việc nghỉ hưu trước tuổi nếu có đủ 15 năm đóng bảo hiểm xã hội. Giáo sư, phó giáo sư, tiến sĩ hoặc nhà giáo làm việc trong lĩnh vực chuyên sâu đặc thù được nghỉ hưu ở tuổi cao hơn.</w:t>
      </w:r>
    </w:p>
    <w:p w:rsidR="00687CCF" w:rsidRPr="00D5070D" w:rsidRDefault="00941C02" w:rsidP="008630DB">
      <w:pPr>
        <w:pStyle w:val="Heading2"/>
        <w:spacing w:before="40" w:beforeAutospacing="0" w:after="0" w:afterAutospacing="0" w:line="274" w:lineRule="auto"/>
        <w:ind w:firstLine="720"/>
        <w:jc w:val="both"/>
        <w:rPr>
          <w:sz w:val="28"/>
          <w:szCs w:val="28"/>
        </w:rPr>
      </w:pPr>
      <w:r w:rsidRPr="00D5070D">
        <w:rPr>
          <w:sz w:val="28"/>
          <w:szCs w:val="28"/>
        </w:rPr>
        <w:t>4.</w:t>
      </w:r>
      <w:r w:rsidR="00687CCF" w:rsidRPr="00D5070D">
        <w:rPr>
          <w:sz w:val="28"/>
          <w:szCs w:val="28"/>
        </w:rPr>
        <w:t xml:space="preserve"> Luật Tư pháp người chưa thành niên số 59/2024/QH15</w:t>
      </w:r>
      <w:r w:rsidR="00BF6046" w:rsidRPr="00D5070D">
        <w:rPr>
          <w:sz w:val="28"/>
          <w:szCs w:val="28"/>
        </w:rPr>
        <w:t xml:space="preserve"> được Quốc hội thông qua ngày 30/11/2024</w:t>
      </w:r>
    </w:p>
    <w:p w:rsidR="00BF6046" w:rsidRPr="00D5070D" w:rsidRDefault="00687CCF" w:rsidP="008630DB">
      <w:pPr>
        <w:spacing w:before="40" w:after="0" w:line="27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Trong đó, để thể hiện chính sách nhân văn, tiến bộ, Luật quy định giảm mức phạt tù tối đa đối với người từ đủ 14 tuổi đến dưới 16 tuổi phạm tội từ 12 năm xuống 09 năm tù, đối với người từ đủ 16 tuổi đến dưới 18 tuổi từ 18 năm xuống 15 năm tù, trừ trường hợp phạm 05 loại tội xâm phạm tính mạng, sức khỏe và ma túy thì mức hình phạt theo quy định của pháp luật hiện hành: (1) Tội giết người; (2) Tội hiếp dâm; (3) Tội hiếp dâm người dưới 16 tuổi; (4) Tội cưỡng dâm người từ đủ 13 tuổi đến dưới 16 tuổi; (5) Tội sản xuất trái phép chất ma túy.</w:t>
      </w:r>
    </w:p>
    <w:p w:rsidR="00687CCF" w:rsidRPr="00D5070D" w:rsidRDefault="00687CCF" w:rsidP="008630DB">
      <w:pPr>
        <w:spacing w:before="40" w:after="0" w:line="27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Quy định này nhằm thể chế hóa yêu cầu của Đảng về “coi trọng việc hoàn thiện chính sách hình sự... đề cao hiệu quả phòng ngừa và tính hướng thiện trong xử lý người phạm tội” và phù hợp với xu hướng chung của các nước trên thế giới. Đồng thời vừa bảo đảm mức hình phạt và tổng hợp hình phạt phù hợp với người chưa thành niên, vừa bảo đảm tính nghiêm minh của pháp luật và an toàn cho cộng đồng.</w:t>
      </w:r>
    </w:p>
    <w:p w:rsidR="00BF6046" w:rsidRPr="00D5070D" w:rsidRDefault="00941C02" w:rsidP="008630DB">
      <w:pPr>
        <w:pStyle w:val="Heading2"/>
        <w:spacing w:before="40" w:beforeAutospacing="0" w:after="0" w:afterAutospacing="0" w:line="274" w:lineRule="auto"/>
        <w:ind w:firstLine="720"/>
        <w:jc w:val="both"/>
        <w:rPr>
          <w:sz w:val="28"/>
          <w:szCs w:val="28"/>
        </w:rPr>
      </w:pPr>
      <w:r w:rsidRPr="00D5070D">
        <w:rPr>
          <w:sz w:val="28"/>
          <w:szCs w:val="28"/>
        </w:rPr>
        <w:lastRenderedPageBreak/>
        <w:t>5.</w:t>
      </w:r>
      <w:r w:rsidR="00BF6046" w:rsidRPr="00D5070D">
        <w:rPr>
          <w:sz w:val="28"/>
          <w:szCs w:val="28"/>
        </w:rPr>
        <w:t xml:space="preserve"> Luật Ngân sách Nhà nước</w:t>
      </w:r>
      <w:r w:rsidR="00424D83" w:rsidRPr="00D5070D">
        <w:rPr>
          <w:sz w:val="28"/>
          <w:szCs w:val="28"/>
        </w:rPr>
        <w:t xml:space="preserve"> số 89/2025/QH15 được Quốc hội thông qua ngày 25/6/2025</w:t>
      </w:r>
    </w:p>
    <w:p w:rsidR="00BF6046" w:rsidRPr="00D5070D" w:rsidRDefault="00BF6046" w:rsidP="008630DB">
      <w:pPr>
        <w:spacing w:before="40" w:after="0" w:line="27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 xml:space="preserve">Luật </w:t>
      </w:r>
      <w:r w:rsidR="00044D4D" w:rsidRPr="00D5070D">
        <w:rPr>
          <w:rFonts w:ascii="Times New Roman" w:eastAsia="Times New Roman" w:hAnsi="Times New Roman" w:cs="Times New Roman"/>
          <w:sz w:val="28"/>
          <w:szCs w:val="28"/>
          <w:lang w:val="en-US"/>
        </w:rPr>
        <w:t>q</w:t>
      </w:r>
      <w:r w:rsidRPr="00D5070D">
        <w:rPr>
          <w:rFonts w:ascii="Times New Roman" w:eastAsia="Times New Roman" w:hAnsi="Times New Roman" w:cs="Times New Roman"/>
          <w:sz w:val="28"/>
          <w:szCs w:val="28"/>
          <w:lang w:val="en-US"/>
        </w:rPr>
        <w:t xml:space="preserve">uy định nguyên tắc chung nhiệm vụ chi thuộc ngân sách cấp nào do ngân sách cấp đó bảo đảm; tuy nhiên, để tăng cường sự chủ động trong quản lý, điều hành </w:t>
      </w:r>
      <w:r w:rsidR="001B33DA" w:rsidRPr="00D5070D">
        <w:rPr>
          <w:rFonts w:ascii="Times New Roman" w:eastAsia="Times New Roman" w:hAnsi="Times New Roman" w:cs="Times New Roman"/>
          <w:sz w:val="28"/>
          <w:szCs w:val="28"/>
          <w:lang w:val="en-US"/>
        </w:rPr>
        <w:t>ngân sách địa phương</w:t>
      </w:r>
      <w:r w:rsidRPr="00D5070D">
        <w:rPr>
          <w:rFonts w:ascii="Times New Roman" w:eastAsia="Times New Roman" w:hAnsi="Times New Roman" w:cs="Times New Roman"/>
          <w:sz w:val="28"/>
          <w:szCs w:val="28"/>
          <w:lang w:val="en-US"/>
        </w:rPr>
        <w:t>, góp phần thực hiện mục tiêu phát triển chung, Luật cho phép các trường hợp: </w:t>
      </w:r>
    </w:p>
    <w:p w:rsidR="00BF6046" w:rsidRPr="00D5070D" w:rsidRDefault="006B5789" w:rsidP="008630DB">
      <w:pPr>
        <w:spacing w:before="40" w:after="0" w:line="27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w:t>
      </w:r>
      <w:r w:rsidR="00BF6046" w:rsidRPr="00D5070D">
        <w:rPr>
          <w:rFonts w:ascii="Times New Roman" w:eastAsia="Times New Roman" w:hAnsi="Times New Roman" w:cs="Times New Roman"/>
          <w:sz w:val="28"/>
          <w:szCs w:val="28"/>
          <w:lang w:val="en-US"/>
        </w:rPr>
        <w:t xml:space="preserve"> Ngân sách cấp dưới hỗ trợ cho các đơn vị thuộc cấp trên quản lý đóng trên địa bàn trong trường hợp xảy ra thiên tai, thảm họa, dịch bệnh và các trường hợp cấp thiết khác; </w:t>
      </w:r>
    </w:p>
    <w:p w:rsidR="00BF6046" w:rsidRPr="00D5070D" w:rsidRDefault="006B5789" w:rsidP="008630DB">
      <w:pPr>
        <w:spacing w:before="40" w:after="0" w:line="27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w:t>
      </w:r>
      <w:r w:rsidR="00BF6046" w:rsidRPr="00D5070D">
        <w:rPr>
          <w:rFonts w:ascii="Times New Roman" w:eastAsia="Times New Roman" w:hAnsi="Times New Roman" w:cs="Times New Roman"/>
          <w:sz w:val="28"/>
          <w:szCs w:val="28"/>
          <w:lang w:val="en-US"/>
        </w:rPr>
        <w:t xml:space="preserve"> Sử dụng dự phòng </w:t>
      </w:r>
      <w:r w:rsidR="00E55B6B" w:rsidRPr="00D5070D">
        <w:rPr>
          <w:rFonts w:ascii="Times New Roman" w:eastAsia="Times New Roman" w:hAnsi="Times New Roman" w:cs="Times New Roman"/>
          <w:sz w:val="28"/>
          <w:szCs w:val="28"/>
          <w:lang w:val="en-US"/>
        </w:rPr>
        <w:t>ngân sách địa phương</w:t>
      </w:r>
      <w:r w:rsidR="00BF6046" w:rsidRPr="00D5070D">
        <w:rPr>
          <w:rFonts w:ascii="Times New Roman" w:eastAsia="Times New Roman" w:hAnsi="Times New Roman" w:cs="Times New Roman"/>
          <w:sz w:val="28"/>
          <w:szCs w:val="28"/>
          <w:lang w:val="en-US"/>
        </w:rPr>
        <w:t xml:space="preserve"> để hỗ trợ địa phương khác khắc phục hậu quả thiên tai, thảm họa, dịch bệnh và một số nhiệm vụ quan trọng, cấp bách khác; </w:t>
      </w:r>
    </w:p>
    <w:p w:rsidR="00BF6046" w:rsidRPr="00D5070D" w:rsidRDefault="006B5789" w:rsidP="008630DB">
      <w:pPr>
        <w:spacing w:before="40" w:after="0" w:line="27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w:t>
      </w:r>
      <w:r w:rsidR="00BF6046" w:rsidRPr="00D5070D">
        <w:rPr>
          <w:rFonts w:ascii="Times New Roman" w:eastAsia="Times New Roman" w:hAnsi="Times New Roman" w:cs="Times New Roman"/>
          <w:sz w:val="28"/>
          <w:szCs w:val="28"/>
          <w:lang w:val="en-US"/>
        </w:rPr>
        <w:t xml:space="preserve"> Sử dụng vốn đầu tư phát triển của </w:t>
      </w:r>
      <w:r w:rsidR="00E55B6B" w:rsidRPr="00D5070D">
        <w:rPr>
          <w:rFonts w:ascii="Times New Roman" w:eastAsia="Times New Roman" w:hAnsi="Times New Roman" w:cs="Times New Roman"/>
          <w:sz w:val="28"/>
          <w:szCs w:val="28"/>
          <w:lang w:val="en-US"/>
        </w:rPr>
        <w:t>ngân sách địa phương</w:t>
      </w:r>
      <w:r w:rsidR="00BF6046" w:rsidRPr="00D5070D">
        <w:rPr>
          <w:rFonts w:ascii="Times New Roman" w:eastAsia="Times New Roman" w:hAnsi="Times New Roman" w:cs="Times New Roman"/>
          <w:sz w:val="28"/>
          <w:szCs w:val="28"/>
          <w:lang w:val="en-US"/>
        </w:rPr>
        <w:t xml:space="preserve"> cho các dự án đầu tư trên địa bàn thuộc nhiệm vụ chi của ngân sách cấp trên trực tiếp; hỗ trợ địa phương khác đầu tư xây dựng dự án.</w:t>
      </w:r>
    </w:p>
    <w:p w:rsidR="005B180E" w:rsidRPr="00D5070D" w:rsidRDefault="00BF6046" w:rsidP="008630DB">
      <w:pPr>
        <w:spacing w:before="40" w:after="0" w:line="264" w:lineRule="auto"/>
        <w:ind w:firstLine="720"/>
        <w:jc w:val="both"/>
        <w:rPr>
          <w:rFonts w:ascii="Times New Roman" w:eastAsia="Times New Roman" w:hAnsi="Times New Roman" w:cs="Times New Roman"/>
          <w:sz w:val="28"/>
          <w:szCs w:val="28"/>
          <w:lang w:val="en-US"/>
        </w:rPr>
      </w:pPr>
      <w:r w:rsidRPr="00D5070D">
        <w:rPr>
          <w:rFonts w:ascii="Times New Roman" w:eastAsia="Times New Roman" w:hAnsi="Times New Roman" w:cs="Times New Roman"/>
          <w:sz w:val="28"/>
          <w:szCs w:val="28"/>
          <w:lang w:val="en-US"/>
        </w:rPr>
        <w:t xml:space="preserve">- Điều chỉnh tăng mức bố trí dự phòng tối đa từ 4% lên 5% tổng chi ngân sách mỗi cấp và bổ sung quy định phạm vi chi từ nguồn dự phòng đối với chi dự trữ quốc gia; nhiệm vụ đối ngoại đột xuất, cấp bách của Nhà nước;... để thống nhất trong tổ chức thực hiện, tăng chủ động của các cấp ngân sách, phù hợp với yêu cầu quản lý </w:t>
      </w:r>
      <w:r w:rsidR="002C5899" w:rsidRPr="00D5070D">
        <w:rPr>
          <w:rFonts w:ascii="Times New Roman" w:eastAsia="Times New Roman" w:hAnsi="Times New Roman" w:cs="Times New Roman"/>
          <w:sz w:val="28"/>
          <w:szCs w:val="28"/>
          <w:lang w:val="en-US"/>
        </w:rPr>
        <w:t>ngân sách nhà nước</w:t>
      </w:r>
      <w:r w:rsidRPr="00D5070D">
        <w:rPr>
          <w:rFonts w:ascii="Times New Roman" w:eastAsia="Times New Roman" w:hAnsi="Times New Roman" w:cs="Times New Roman"/>
          <w:sz w:val="28"/>
          <w:szCs w:val="28"/>
          <w:lang w:val="en-US"/>
        </w:rPr>
        <w:t xml:space="preserve"> và quy định pháp luật khác có liên quan.</w:t>
      </w:r>
    </w:p>
    <w:p w:rsidR="005B180E" w:rsidRPr="00D5070D" w:rsidRDefault="00941C02" w:rsidP="008630DB">
      <w:pPr>
        <w:spacing w:before="40" w:after="0" w:line="264" w:lineRule="auto"/>
        <w:ind w:firstLine="720"/>
        <w:jc w:val="both"/>
        <w:rPr>
          <w:rFonts w:ascii="Times New Roman" w:hAnsi="Times New Roman" w:cs="Times New Roman"/>
          <w:b/>
          <w:sz w:val="28"/>
          <w:szCs w:val="28"/>
          <w:lang w:val="en-US"/>
        </w:rPr>
      </w:pPr>
      <w:r w:rsidRPr="00D5070D">
        <w:rPr>
          <w:rFonts w:ascii="Times New Roman" w:eastAsia="Times New Roman" w:hAnsi="Times New Roman" w:cs="Times New Roman"/>
          <w:b/>
          <w:sz w:val="28"/>
          <w:szCs w:val="28"/>
          <w:lang w:val="en-US"/>
        </w:rPr>
        <w:t>6.</w:t>
      </w:r>
      <w:r w:rsidR="00685A0F" w:rsidRPr="00D5070D">
        <w:rPr>
          <w:rFonts w:ascii="Times New Roman" w:hAnsi="Times New Roman" w:cs="Times New Roman"/>
          <w:b/>
          <w:sz w:val="28"/>
          <w:szCs w:val="28"/>
        </w:rPr>
        <w:t xml:space="preserve"> Luật Thuế tiêu thụ đặc biệt 2025, số 66/2025/QH15</w:t>
      </w:r>
      <w:r w:rsidR="00685A0F" w:rsidRPr="00D5070D">
        <w:rPr>
          <w:rFonts w:ascii="Times New Roman" w:hAnsi="Times New Roman" w:cs="Times New Roman"/>
          <w:b/>
          <w:sz w:val="28"/>
          <w:szCs w:val="28"/>
          <w:lang w:val="en-US"/>
        </w:rPr>
        <w:t xml:space="preserve"> được Quốc hội thông qua ngày 14/6/2025</w:t>
      </w:r>
    </w:p>
    <w:p w:rsidR="005B180E" w:rsidRPr="00D5070D" w:rsidRDefault="00685A0F"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rPr>
        <w:t>Luật này có 4 Chương và 11 Điều, quy định về đối tượng chịu thuế, đối tượng không chịu thuế, người nộp thuế, căn cứ tính thuế, hoàn thuế, khấu trừ thuế và giảm thuế tiêu thụ đặc biệt.</w:t>
      </w:r>
    </w:p>
    <w:p w:rsidR="00D5070D" w:rsidRPr="00D5070D" w:rsidRDefault="00685A0F" w:rsidP="00D5070D">
      <w:pPr>
        <w:spacing w:before="40" w:after="0" w:line="264" w:lineRule="auto"/>
        <w:ind w:firstLine="720"/>
        <w:jc w:val="both"/>
        <w:rPr>
          <w:rFonts w:ascii="Times New Roman" w:hAnsi="Times New Roman" w:cs="Times New Roman"/>
          <w:sz w:val="28"/>
          <w:szCs w:val="28"/>
          <w:lang w:val="en-GB"/>
        </w:rPr>
      </w:pPr>
      <w:r w:rsidRPr="00D5070D">
        <w:rPr>
          <w:rStyle w:val="Strong"/>
          <w:rFonts w:ascii="Times New Roman" w:hAnsi="Times New Roman" w:cs="Times New Roman"/>
          <w:b w:val="0"/>
          <w:sz w:val="28"/>
          <w:szCs w:val="28"/>
        </w:rPr>
        <w:t>- Đối tượng chịu thuế: </w:t>
      </w:r>
      <w:r w:rsidRPr="00D5070D">
        <w:rPr>
          <w:rFonts w:ascii="Times New Roman" w:hAnsi="Times New Roman" w:cs="Times New Roman"/>
          <w:sz w:val="28"/>
          <w:szCs w:val="28"/>
        </w:rPr>
        <w:t>Luật quy định các hàng hóa và dịch vụ chịu thuế tiêu thụ đặc biệt bao gồm: thuốc lá, rượu, bia, xe ô tô dưới 24 chỗ, xe mô tô có dung tích xi lanh trên 125 cm³, máy bay, tàu bay, xăng, điều hòa nhiệt độ công suất lớn, bài lá, vàng mã, và nước giải khát có hàm lượng đường cao. Các dịch vụ chịu thuế bao gồm kinh doanh vũ trường, mát-xa, karaoke, casino, trò chơi điện tử có thưởng, đặt cược, golf và xổ số.</w:t>
      </w:r>
    </w:p>
    <w:p w:rsidR="00D5070D" w:rsidRPr="00D5070D" w:rsidRDefault="00685A0F" w:rsidP="00D5070D">
      <w:pPr>
        <w:spacing w:before="40" w:after="0" w:line="264" w:lineRule="auto"/>
        <w:ind w:firstLine="720"/>
        <w:jc w:val="both"/>
        <w:rPr>
          <w:rFonts w:ascii="Times New Roman" w:hAnsi="Times New Roman" w:cs="Times New Roman"/>
          <w:sz w:val="28"/>
          <w:szCs w:val="28"/>
          <w:lang w:val="en-GB"/>
        </w:rPr>
      </w:pPr>
      <w:r w:rsidRPr="00D5070D">
        <w:rPr>
          <w:rStyle w:val="Strong"/>
          <w:rFonts w:ascii="Times New Roman" w:hAnsi="Times New Roman" w:cs="Times New Roman"/>
          <w:sz w:val="28"/>
          <w:szCs w:val="28"/>
        </w:rPr>
        <w:t xml:space="preserve">- </w:t>
      </w:r>
      <w:r w:rsidRPr="00D5070D">
        <w:rPr>
          <w:rStyle w:val="Strong"/>
          <w:rFonts w:ascii="Times New Roman" w:hAnsi="Times New Roman" w:cs="Times New Roman"/>
          <w:b w:val="0"/>
          <w:sz w:val="28"/>
          <w:szCs w:val="28"/>
        </w:rPr>
        <w:t>Đối tượng không chịu thuế:</w:t>
      </w:r>
      <w:r w:rsidRPr="00D5070D">
        <w:rPr>
          <w:rStyle w:val="Strong"/>
          <w:rFonts w:ascii="Times New Roman" w:hAnsi="Times New Roman" w:cs="Times New Roman"/>
          <w:sz w:val="28"/>
          <w:szCs w:val="28"/>
        </w:rPr>
        <w:t> </w:t>
      </w:r>
      <w:r w:rsidRPr="00D5070D">
        <w:rPr>
          <w:rFonts w:ascii="Times New Roman" w:hAnsi="Times New Roman" w:cs="Times New Roman"/>
          <w:sz w:val="28"/>
          <w:szCs w:val="28"/>
        </w:rPr>
        <w:t>Các trường hợp không chịu thuế bao gồm hàng hóa xuất khẩu, hàng viện trợ nhân đạo, hàng hóa nhập khẩu cho mục đích an ninh, quốc phòng, cứu thương, và các loại xe ô tô chuyên dụng như xe cứu thương, xe tang lễ.</w:t>
      </w:r>
    </w:p>
    <w:p w:rsidR="00685A0F" w:rsidRPr="00D5070D" w:rsidRDefault="00685A0F" w:rsidP="00D5070D">
      <w:pPr>
        <w:spacing w:before="40" w:after="0" w:line="264" w:lineRule="auto"/>
        <w:ind w:firstLine="720"/>
        <w:jc w:val="both"/>
        <w:rPr>
          <w:rFonts w:ascii="Times New Roman" w:hAnsi="Times New Roman" w:cs="Times New Roman"/>
          <w:b/>
          <w:sz w:val="28"/>
          <w:szCs w:val="28"/>
          <w:lang w:val="en-US"/>
        </w:rPr>
      </w:pPr>
      <w:r w:rsidRPr="00D5070D">
        <w:rPr>
          <w:rStyle w:val="Strong"/>
          <w:rFonts w:ascii="Times New Roman" w:hAnsi="Times New Roman" w:cs="Times New Roman"/>
          <w:b w:val="0"/>
          <w:sz w:val="28"/>
          <w:szCs w:val="28"/>
        </w:rPr>
        <w:t>- Người nộp thuế:</w:t>
      </w:r>
      <w:r w:rsidRPr="00D5070D">
        <w:rPr>
          <w:rStyle w:val="Strong"/>
          <w:rFonts w:ascii="Times New Roman" w:hAnsi="Times New Roman" w:cs="Times New Roman"/>
          <w:sz w:val="28"/>
          <w:szCs w:val="28"/>
        </w:rPr>
        <w:t> </w:t>
      </w:r>
      <w:r w:rsidRPr="00D5070D">
        <w:rPr>
          <w:rFonts w:ascii="Times New Roman" w:hAnsi="Times New Roman" w:cs="Times New Roman"/>
          <w:sz w:val="28"/>
          <w:szCs w:val="28"/>
        </w:rPr>
        <w:t>Người nộp thuế là tổ chức, cá nhân sản xuất, gia công, nhập khẩu hàng hóa và kinh doanh dịch vụ thuộc đối tượng chịu thuế tiêu thụ đặc biệt. Trường hợp hàng hóa không xuất khẩu mà tiêu thụ trong nước, người kinh doanh xuất khẩu sẽ là người nộp thuế.</w:t>
      </w:r>
    </w:p>
    <w:p w:rsidR="00685A0F" w:rsidRPr="00D5070D" w:rsidRDefault="00685A0F" w:rsidP="008630DB">
      <w:pPr>
        <w:pStyle w:val="Heading1"/>
        <w:spacing w:before="40" w:line="264" w:lineRule="auto"/>
        <w:ind w:firstLine="720"/>
        <w:jc w:val="both"/>
        <w:rPr>
          <w:rFonts w:ascii="Times New Roman" w:hAnsi="Times New Roman" w:cs="Times New Roman"/>
          <w:b w:val="0"/>
          <w:color w:val="auto"/>
          <w:lang w:val="en-US"/>
        </w:rPr>
      </w:pPr>
      <w:r w:rsidRPr="00D5070D">
        <w:rPr>
          <w:rStyle w:val="Strong"/>
          <w:rFonts w:ascii="Times New Roman" w:hAnsi="Times New Roman" w:cs="Times New Roman"/>
          <w:color w:val="auto"/>
        </w:rPr>
        <w:lastRenderedPageBreak/>
        <w:t>- Căn cứ và phương pháp tính thuế: </w:t>
      </w:r>
      <w:r w:rsidRPr="00D5070D">
        <w:rPr>
          <w:rFonts w:ascii="Times New Roman" w:hAnsi="Times New Roman" w:cs="Times New Roman"/>
          <w:b w:val="0"/>
          <w:color w:val="auto"/>
        </w:rPr>
        <w:t>Thuế tiêu thụ đặc biệt được tính dựa trên giá tính thuế và thuế suất hoặc mức thuế tuyệt đối. Giá tính thuế là giá bán ra chưa bao gồm thuế tiêu thụ đặc biệt, thuế bảo vệ môi trường và thuế giá trị gia tăng.</w:t>
      </w:r>
    </w:p>
    <w:p w:rsidR="00685A0F" w:rsidRPr="00D5070D" w:rsidRDefault="00685A0F" w:rsidP="008630DB">
      <w:pPr>
        <w:pStyle w:val="NormalWeb"/>
        <w:spacing w:before="40" w:beforeAutospacing="0" w:after="0" w:afterAutospacing="0" w:line="264" w:lineRule="auto"/>
        <w:ind w:firstLine="720"/>
        <w:jc w:val="both"/>
        <w:rPr>
          <w:sz w:val="28"/>
          <w:szCs w:val="28"/>
        </w:rPr>
      </w:pPr>
      <w:r w:rsidRPr="00D5070D">
        <w:rPr>
          <w:rStyle w:val="Strong"/>
          <w:b w:val="0"/>
          <w:sz w:val="28"/>
          <w:szCs w:val="28"/>
        </w:rPr>
        <w:t>- Thuế suất và mức thuế tuyệt đối: </w:t>
      </w:r>
      <w:r w:rsidRPr="00D5070D">
        <w:rPr>
          <w:sz w:val="28"/>
          <w:szCs w:val="28"/>
        </w:rPr>
        <w:t>Biểu thuế tiêu thụ đặc biệt quy định thuế suất và mức thuế tuyệt đối cho từng loại hàng hóa và dịch vụ. Ví dụ, thuế suất cho thuốc lá là 75%, rượu từ 20 độ trở lên từ 65% đến 90% tùy theo năm, và xe ô tô có thuế suất từ 35% đến 150% tùy theo dung tích xi lanh.</w:t>
      </w:r>
    </w:p>
    <w:p w:rsidR="00ED6157" w:rsidRPr="00D5070D" w:rsidRDefault="00941C02" w:rsidP="008630DB">
      <w:pPr>
        <w:pStyle w:val="Heading1"/>
        <w:spacing w:before="40" w:line="264" w:lineRule="auto"/>
        <w:ind w:firstLine="720"/>
        <w:jc w:val="both"/>
        <w:rPr>
          <w:rFonts w:ascii="Times New Roman" w:hAnsi="Times New Roman" w:cs="Times New Roman"/>
          <w:color w:val="auto"/>
        </w:rPr>
      </w:pPr>
      <w:r w:rsidRPr="00D5070D">
        <w:rPr>
          <w:rFonts w:ascii="Times New Roman" w:hAnsi="Times New Roman" w:cs="Times New Roman"/>
          <w:color w:val="auto"/>
          <w:lang w:val="en-GB"/>
        </w:rPr>
        <w:t>7.</w:t>
      </w:r>
      <w:r w:rsidR="00ED6157" w:rsidRPr="00D5070D">
        <w:rPr>
          <w:rStyle w:val="Emphasis"/>
          <w:rFonts w:ascii="Times New Roman" w:hAnsi="Times New Roman" w:cs="Times New Roman"/>
          <w:color w:val="auto"/>
        </w:rPr>
        <w:t xml:space="preserve"> </w:t>
      </w:r>
      <w:r w:rsidR="00ED6157" w:rsidRPr="00D5070D">
        <w:rPr>
          <w:rFonts w:ascii="Times New Roman" w:hAnsi="Times New Roman" w:cs="Times New Roman"/>
          <w:color w:val="auto"/>
        </w:rPr>
        <w:t>Luật Thuế giá trị gia tăng sửa đổi 2025, số 149/2025/QH15</w:t>
      </w:r>
      <w:r w:rsidR="00ED6157" w:rsidRPr="00D5070D">
        <w:rPr>
          <w:rFonts w:ascii="Times New Roman" w:hAnsi="Times New Roman" w:cs="Times New Roman"/>
          <w:color w:val="auto"/>
          <w:lang w:val="en-US"/>
        </w:rPr>
        <w:t xml:space="preserve"> được Quôc hội thông qua ngày 11/12/2025:</w:t>
      </w:r>
    </w:p>
    <w:p w:rsidR="00ED6157" w:rsidRPr="00D5070D" w:rsidRDefault="00ED6157" w:rsidP="008630DB">
      <w:pPr>
        <w:pStyle w:val="NormalWeb"/>
        <w:spacing w:before="40" w:beforeAutospacing="0" w:after="0" w:afterAutospacing="0" w:line="264" w:lineRule="auto"/>
        <w:ind w:firstLine="720"/>
        <w:jc w:val="both"/>
        <w:rPr>
          <w:rStyle w:val="Strong"/>
          <w:b w:val="0"/>
          <w:iCs/>
          <w:sz w:val="28"/>
          <w:szCs w:val="28"/>
        </w:rPr>
      </w:pPr>
      <w:r w:rsidRPr="00D5070D">
        <w:rPr>
          <w:rStyle w:val="Strong"/>
          <w:b w:val="0"/>
          <w:iCs/>
          <w:sz w:val="28"/>
          <w:szCs w:val="28"/>
        </w:rPr>
        <w:t>Theo đó, Luật có một số điểm mới đáng chú ý như sau:</w:t>
      </w:r>
    </w:p>
    <w:p w:rsidR="00ED6157" w:rsidRPr="00D5070D" w:rsidRDefault="00ED6157" w:rsidP="008630DB">
      <w:pPr>
        <w:pStyle w:val="NormalWeb"/>
        <w:spacing w:before="40" w:beforeAutospacing="0" w:after="0" w:afterAutospacing="0" w:line="264" w:lineRule="auto"/>
        <w:ind w:firstLine="720"/>
        <w:jc w:val="both"/>
        <w:rPr>
          <w:sz w:val="28"/>
          <w:szCs w:val="28"/>
        </w:rPr>
      </w:pPr>
      <w:r w:rsidRPr="00D5070D">
        <w:rPr>
          <w:rStyle w:val="Strong"/>
          <w:b w:val="0"/>
          <w:iCs/>
          <w:sz w:val="28"/>
          <w:szCs w:val="28"/>
        </w:rPr>
        <w:t xml:space="preserve">- Bổ sung đối tượng không chịu thuế giá trị gia tăng: </w:t>
      </w:r>
      <w:r w:rsidRPr="00D5070D">
        <w:rPr>
          <w:sz w:val="28"/>
          <w:szCs w:val="28"/>
        </w:rPr>
        <w:t>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sidR="00ED6157" w:rsidRPr="00D5070D" w:rsidRDefault="00ED6157" w:rsidP="008630DB">
      <w:pPr>
        <w:pStyle w:val="NormalWeb"/>
        <w:spacing w:before="40" w:beforeAutospacing="0" w:after="0" w:afterAutospacing="0" w:line="264" w:lineRule="auto"/>
        <w:ind w:firstLine="720"/>
        <w:jc w:val="both"/>
        <w:rPr>
          <w:b/>
          <w:sz w:val="28"/>
          <w:szCs w:val="28"/>
        </w:rPr>
      </w:pPr>
      <w:r w:rsidRPr="00D5070D">
        <w:rPr>
          <w:rStyle w:val="Strong"/>
          <w:i/>
          <w:iCs/>
          <w:sz w:val="28"/>
          <w:szCs w:val="28"/>
        </w:rPr>
        <w:t xml:space="preserve">- </w:t>
      </w:r>
      <w:r w:rsidRPr="00D5070D">
        <w:rPr>
          <w:rStyle w:val="Strong"/>
          <w:b w:val="0"/>
          <w:iCs/>
          <w:sz w:val="28"/>
          <w:szCs w:val="28"/>
        </w:rPr>
        <w:t>Tăng mức doanh thu không chịu thuế giá trị gia tăng</w:t>
      </w:r>
      <w:r w:rsidRPr="00D5070D">
        <w:rPr>
          <w:sz w:val="28"/>
          <w:szCs w:val="28"/>
        </w:rPr>
        <w:t> đối với hàng hóa, dịch vụ của hộ, cá nhân sản xuất, kinh doanh từ 200 triệu đồng/năm lên </w:t>
      </w:r>
      <w:r w:rsidRPr="00D5070D">
        <w:rPr>
          <w:rStyle w:val="Strong"/>
          <w:b w:val="0"/>
          <w:sz w:val="28"/>
          <w:szCs w:val="28"/>
        </w:rPr>
        <w:t>500 triệu đồng/năm.</w:t>
      </w:r>
    </w:p>
    <w:p w:rsidR="00ED6157" w:rsidRPr="00D5070D" w:rsidRDefault="00ED6157" w:rsidP="008630DB">
      <w:pPr>
        <w:pStyle w:val="NormalWeb"/>
        <w:spacing w:before="40" w:beforeAutospacing="0" w:after="0" w:afterAutospacing="0" w:line="264" w:lineRule="auto"/>
        <w:ind w:firstLine="720"/>
        <w:jc w:val="both"/>
        <w:rPr>
          <w:i/>
          <w:sz w:val="28"/>
          <w:szCs w:val="28"/>
        </w:rPr>
      </w:pPr>
      <w:r w:rsidRPr="00D5070D">
        <w:rPr>
          <w:rStyle w:val="Emphasis"/>
          <w:bCs/>
          <w:i w:val="0"/>
          <w:sz w:val="28"/>
          <w:szCs w:val="28"/>
        </w:rPr>
        <w:t>- Bãi bỏ quy định về thuế khoán của hộ, cá nhân kinh doanh.</w:t>
      </w:r>
    </w:p>
    <w:p w:rsidR="00D5070D" w:rsidRPr="00D5070D" w:rsidRDefault="00ED6157" w:rsidP="00D5070D">
      <w:pPr>
        <w:pStyle w:val="NormalWeb"/>
        <w:spacing w:before="40" w:beforeAutospacing="0" w:after="0" w:afterAutospacing="0" w:line="264" w:lineRule="auto"/>
        <w:ind w:firstLine="720"/>
        <w:jc w:val="both"/>
        <w:rPr>
          <w:spacing w:val="-4"/>
          <w:sz w:val="28"/>
          <w:szCs w:val="28"/>
        </w:rPr>
      </w:pPr>
      <w:r w:rsidRPr="00D5070D">
        <w:rPr>
          <w:i/>
          <w:spacing w:val="-4"/>
          <w:sz w:val="28"/>
          <w:szCs w:val="28"/>
        </w:rPr>
        <w:t xml:space="preserve">- </w:t>
      </w:r>
      <w:r w:rsidRPr="00D5070D">
        <w:rPr>
          <w:rStyle w:val="Emphasis"/>
          <w:bCs/>
          <w:i w:val="0"/>
          <w:spacing w:val="-4"/>
          <w:sz w:val="28"/>
          <w:szCs w:val="28"/>
        </w:rPr>
        <w:t>Bãi bỏ điều kiện hoàn thuế</w:t>
      </w:r>
      <w:r w:rsidRPr="00D5070D">
        <w:rPr>
          <w:rStyle w:val="Emphasis"/>
          <w:b/>
          <w:bCs/>
          <w:i w:val="0"/>
          <w:spacing w:val="-4"/>
          <w:sz w:val="28"/>
          <w:szCs w:val="28"/>
        </w:rPr>
        <w:t>:</w:t>
      </w:r>
      <w:r w:rsidRPr="00D5070D">
        <w:rPr>
          <w:rStyle w:val="Emphasis"/>
          <w:b/>
          <w:bCs/>
          <w:spacing w:val="-4"/>
          <w:sz w:val="28"/>
          <w:szCs w:val="28"/>
        </w:rPr>
        <w:t> </w:t>
      </w:r>
      <w:r w:rsidRPr="00D5070D">
        <w:rPr>
          <w:spacing w:val="-4"/>
          <w:sz w:val="28"/>
          <w:szCs w:val="28"/>
        </w:rPr>
        <w:t>Người bán đã kê khai, nộp thuế giá trị gia tăng theo quy định đối với hóa đơn đã xuất cho cơ sở kinh doanh đề nghị hoàn thuế.</w:t>
      </w:r>
    </w:p>
    <w:p w:rsidR="00D5070D" w:rsidRPr="00D5070D" w:rsidRDefault="00941C02" w:rsidP="00D5070D">
      <w:pPr>
        <w:pStyle w:val="NormalWeb"/>
        <w:spacing w:before="40" w:beforeAutospacing="0" w:after="0" w:afterAutospacing="0" w:line="264" w:lineRule="auto"/>
        <w:ind w:firstLine="720"/>
        <w:jc w:val="both"/>
        <w:rPr>
          <w:sz w:val="28"/>
          <w:szCs w:val="28"/>
        </w:rPr>
      </w:pPr>
      <w:r w:rsidRPr="00D5070D">
        <w:rPr>
          <w:b/>
          <w:spacing w:val="-4"/>
          <w:sz w:val="28"/>
          <w:szCs w:val="28"/>
        </w:rPr>
        <w:t xml:space="preserve">8. </w:t>
      </w:r>
      <w:r w:rsidR="00D5070D" w:rsidRPr="00D5070D">
        <w:rPr>
          <w:b/>
          <w:sz w:val="28"/>
          <w:szCs w:val="28"/>
          <w:lang w:val="en-GB"/>
        </w:rPr>
        <w:t xml:space="preserve">Ngoài các luật nêu trên, trong tháng có các Luật sau có hiệu lực: </w:t>
      </w:r>
      <w:r w:rsidRPr="00D5070D">
        <w:rPr>
          <w:sz w:val="28"/>
          <w:szCs w:val="28"/>
        </w:rPr>
        <w:t>Luật Đường sắt 2025; Luật Năng lượng nguyên tử 2025; Luật Tham gia lực lượng gìn giữ hòa bình của Liên hợp quốc 2025; Luật Chất lượng sản phẩm, hàng hóa sửa đổi 2025; Luật sửa đổi, bổ sung một số điều của Luật Sử dụng năng lượng tiết kiệm và hiệu quả; Luật Công nghiệp, công nghệ số 2025; Luật Quảng cáo sửa đổi  2025; Luật Hóa chất 2025; Luật Tiêu chuẩn và quy chuẩn kỹ thuật sửa đổi 2025; Luật Giáo dục đại học 2025; Luật sửa đổi, bổ sung một số điều của Luật Kinh doanh bảo hiểm 2025; Luật sửa đổi,  bổ sung một số điều của Luật Thống kê; Luật sửa đổi, bổ sung một số điều của Luật Quản lý nợ công; Luật sửa đổi, bổ sung một số điều của Luật Công nghiệp Quốc phòng, an ninh và động viên công nghiệp; Luật sửa đổi bổ sung một số điều của Luật Giáo dục; Luật sửa đổi, bổ sung Luật Quy hoạch đô thị và nông thôn</w:t>
      </w:r>
      <w:bookmarkStart w:id="0" w:name="_GoBack"/>
      <w:bookmarkEnd w:id="0"/>
      <w:r w:rsidRPr="00D5070D">
        <w:rPr>
          <w:sz w:val="28"/>
          <w:szCs w:val="28"/>
        </w:rPr>
        <w:t>; Luật Toà án chuyên biệt tại Trung tâm tài chính quốc tế; Luật sửa đổi, bổ sung một số điều của Luật Điều ước quốc tế; Luật sửa đổi bổ sung một số điều của Luật Địa chất và khoáng sản;</w:t>
      </w:r>
      <w:r w:rsidRPr="00D5070D">
        <w:rPr>
          <w:color w:val="026896"/>
          <w:sz w:val="28"/>
          <w:szCs w:val="28"/>
        </w:rPr>
        <w:t xml:space="preserve"> </w:t>
      </w:r>
      <w:r w:rsidRPr="00D5070D">
        <w:rPr>
          <w:sz w:val="28"/>
          <w:szCs w:val="28"/>
        </w:rPr>
        <w:t>Luật sửa đổi, bổ sung một số điều của Luật Giá; Luật sửa đổi, bổ sung một số điều của 15 luật trong lĩnh vực nông nghiệp và môi trường.</w:t>
      </w:r>
    </w:p>
    <w:p w:rsidR="00C30B82" w:rsidRPr="00D5070D" w:rsidRDefault="00941C02" w:rsidP="00D5070D">
      <w:pPr>
        <w:pStyle w:val="NormalWeb"/>
        <w:spacing w:before="40" w:beforeAutospacing="0" w:after="0" w:afterAutospacing="0" w:line="264" w:lineRule="auto"/>
        <w:ind w:firstLine="720"/>
        <w:jc w:val="both"/>
        <w:rPr>
          <w:b/>
          <w:sz w:val="28"/>
          <w:szCs w:val="28"/>
        </w:rPr>
      </w:pPr>
      <w:r w:rsidRPr="00D5070D">
        <w:rPr>
          <w:b/>
          <w:sz w:val="28"/>
          <w:szCs w:val="28"/>
          <w:lang w:val="en-GB"/>
        </w:rPr>
        <w:lastRenderedPageBreak/>
        <w:t>9</w:t>
      </w:r>
      <w:r w:rsidR="00C30B82" w:rsidRPr="00D5070D">
        <w:rPr>
          <w:b/>
          <w:sz w:val="28"/>
          <w:szCs w:val="28"/>
        </w:rPr>
        <w:t xml:space="preserve">. Nghị quyết </w:t>
      </w:r>
      <w:r w:rsidR="00AE5187" w:rsidRPr="00D5070D">
        <w:rPr>
          <w:b/>
          <w:sz w:val="28"/>
          <w:szCs w:val="28"/>
        </w:rPr>
        <w:t xml:space="preserve">số </w:t>
      </w:r>
      <w:r w:rsidR="00C30B82" w:rsidRPr="00D5070D">
        <w:rPr>
          <w:b/>
          <w:sz w:val="28"/>
          <w:szCs w:val="28"/>
        </w:rPr>
        <w:t>254/2025/QH15 ngày 11/12/2025 của Quốc hội quy định một số cơ chế,</w:t>
      </w:r>
      <w:r w:rsidR="00A35678" w:rsidRPr="00D5070D">
        <w:rPr>
          <w:b/>
          <w:sz w:val="28"/>
          <w:szCs w:val="28"/>
        </w:rPr>
        <w:t xml:space="preserve"> </w:t>
      </w:r>
      <w:r w:rsidR="00C30B82" w:rsidRPr="00D5070D">
        <w:rPr>
          <w:b/>
          <w:sz w:val="28"/>
          <w:szCs w:val="28"/>
        </w:rPr>
        <w:t>chính sách tháo gỡ khó khăn, vướng mắc trong tổ chức thi hành Luật Đất đai, có hiệu lực từ ngày 01/01/2026</w:t>
      </w:r>
    </w:p>
    <w:p w:rsidR="00D00E8B" w:rsidRPr="00D5070D" w:rsidRDefault="00D00E8B" w:rsidP="008630DB">
      <w:pPr>
        <w:pStyle w:val="NormalWeb"/>
        <w:spacing w:before="40" w:beforeAutospacing="0" w:after="0" w:afterAutospacing="0" w:line="264" w:lineRule="auto"/>
        <w:ind w:firstLine="720"/>
        <w:jc w:val="both"/>
        <w:rPr>
          <w:sz w:val="28"/>
          <w:szCs w:val="28"/>
        </w:rPr>
      </w:pPr>
      <w:r w:rsidRPr="00D5070D">
        <w:rPr>
          <w:sz w:val="28"/>
          <w:szCs w:val="28"/>
        </w:rPr>
        <w:t>Theo đó, các chính sách để nhằm</w:t>
      </w:r>
      <w:r w:rsidR="00BF4D45" w:rsidRPr="00D5070D">
        <w:rPr>
          <w:sz w:val="28"/>
          <w:szCs w:val="28"/>
        </w:rPr>
        <w:t xml:space="preserve"> gỡ khó khăn, vướng mắc trong tổ chức thi hành Luật Đất đai 2024 và các luật</w:t>
      </w:r>
      <w:r w:rsidRPr="00D5070D">
        <w:rPr>
          <w:sz w:val="28"/>
          <w:szCs w:val="28"/>
        </w:rPr>
        <w:t xml:space="preserve"> sửa đổi, bổ sung có liên quan như sau:</w:t>
      </w:r>
    </w:p>
    <w:p w:rsidR="00BF4D45" w:rsidRPr="00D5070D" w:rsidRDefault="00BF4D45" w:rsidP="008630DB">
      <w:pPr>
        <w:pStyle w:val="NormalWeb"/>
        <w:spacing w:before="40" w:beforeAutospacing="0" w:after="0" w:afterAutospacing="0" w:line="264" w:lineRule="auto"/>
        <w:ind w:firstLine="720"/>
        <w:jc w:val="both"/>
        <w:rPr>
          <w:sz w:val="28"/>
          <w:szCs w:val="28"/>
        </w:rPr>
      </w:pPr>
      <w:r w:rsidRPr="00D5070D">
        <w:rPr>
          <w:sz w:val="28"/>
          <w:szCs w:val="28"/>
        </w:rPr>
        <w:t>- Mở rộng trường hợp Nhà nước thu hồi đất gồm:</w:t>
      </w:r>
      <w:r w:rsidR="002A0253" w:rsidRPr="00D5070D">
        <w:rPr>
          <w:sz w:val="28"/>
          <w:szCs w:val="28"/>
        </w:rPr>
        <w:t xml:space="preserve"> đ</w:t>
      </w:r>
      <w:r w:rsidRPr="00D5070D">
        <w:rPr>
          <w:sz w:val="28"/>
          <w:szCs w:val="28"/>
        </w:rPr>
        <w:t>ể xây dựng cơ sở cai nghiện ma túy do lực lượng vũ trang quản lý; </w:t>
      </w:r>
      <w:r w:rsidR="002A0253" w:rsidRPr="00D5070D">
        <w:rPr>
          <w:sz w:val="28"/>
          <w:szCs w:val="28"/>
        </w:rPr>
        <w:t>đ</w:t>
      </w:r>
      <w:r w:rsidRPr="00D5070D">
        <w:rPr>
          <w:sz w:val="28"/>
          <w:szCs w:val="28"/>
        </w:rPr>
        <w:t>ể thực hiện dự án trong khu thương mại tự do, trung tâm tài chính quốc tế…</w:t>
      </w:r>
    </w:p>
    <w:p w:rsidR="00BF4D45" w:rsidRPr="00D5070D" w:rsidRDefault="00BF4D45" w:rsidP="008630DB">
      <w:pPr>
        <w:pStyle w:val="NormalWeb"/>
        <w:spacing w:before="40" w:beforeAutospacing="0" w:after="0" w:afterAutospacing="0" w:line="264" w:lineRule="auto"/>
        <w:ind w:firstLine="720"/>
        <w:jc w:val="both"/>
        <w:rPr>
          <w:sz w:val="28"/>
          <w:szCs w:val="28"/>
        </w:rPr>
      </w:pPr>
      <w:r w:rsidRPr="00D5070D">
        <w:rPr>
          <w:sz w:val="28"/>
          <w:szCs w:val="28"/>
        </w:rPr>
        <w:t>- Thu hồi đất trước khi hoàn tất bồi thường, tái định cư</w:t>
      </w:r>
      <w:r w:rsidR="001E4B21" w:rsidRPr="00D5070D">
        <w:rPr>
          <w:sz w:val="28"/>
          <w:szCs w:val="28"/>
        </w:rPr>
        <w:t>.</w:t>
      </w:r>
    </w:p>
    <w:p w:rsidR="00BF4D45" w:rsidRPr="00D5070D" w:rsidRDefault="00BF4D45" w:rsidP="008630DB">
      <w:pPr>
        <w:pStyle w:val="NormalWeb"/>
        <w:spacing w:before="40" w:beforeAutospacing="0" w:after="0" w:afterAutospacing="0" w:line="264" w:lineRule="auto"/>
        <w:ind w:firstLine="720"/>
        <w:jc w:val="both"/>
        <w:rPr>
          <w:sz w:val="28"/>
          <w:szCs w:val="28"/>
        </w:rPr>
      </w:pPr>
      <w:r w:rsidRPr="00D5070D">
        <w:rPr>
          <w:sz w:val="28"/>
          <w:szCs w:val="28"/>
        </w:rPr>
        <w:t>- Hệ số điều chỉnh giá đất do UBND cấp tỉnh ban hành hằng năm và có thể điều chỉnh trong năm nếu cần thiết để phù hợp thực tế.</w:t>
      </w:r>
    </w:p>
    <w:p w:rsidR="00BF4D45" w:rsidRPr="00D5070D" w:rsidRDefault="00BF4D45" w:rsidP="008630DB">
      <w:pPr>
        <w:pStyle w:val="NormalWeb"/>
        <w:spacing w:before="40" w:beforeAutospacing="0" w:after="0" w:afterAutospacing="0" w:line="264" w:lineRule="auto"/>
        <w:ind w:firstLine="720"/>
        <w:jc w:val="both"/>
        <w:rPr>
          <w:sz w:val="28"/>
          <w:szCs w:val="28"/>
        </w:rPr>
      </w:pPr>
      <w:r w:rsidRPr="00D5070D">
        <w:rPr>
          <w:sz w:val="28"/>
          <w:szCs w:val="28"/>
        </w:rPr>
        <w:t>- Đăng ký thế chấp chỉ cần cập nhật vào cơ sở dữ liệu đất đai, không phải ghi trên Giấy chứng nhận;</w:t>
      </w:r>
    </w:p>
    <w:p w:rsidR="00BF4D45" w:rsidRPr="00D5070D" w:rsidRDefault="00BF4D45" w:rsidP="008630DB">
      <w:pPr>
        <w:pStyle w:val="NormalWeb"/>
        <w:spacing w:before="40" w:beforeAutospacing="0" w:after="0" w:afterAutospacing="0" w:line="264" w:lineRule="auto"/>
        <w:ind w:firstLine="720"/>
        <w:jc w:val="both"/>
        <w:rPr>
          <w:sz w:val="28"/>
          <w:szCs w:val="28"/>
        </w:rPr>
      </w:pPr>
      <w:r w:rsidRPr="00D5070D">
        <w:rPr>
          <w:sz w:val="28"/>
          <w:szCs w:val="28"/>
        </w:rPr>
        <w:t>- Tách thửa, hợp thửa không bắt buộc cùng mục đích sử dụng đất, không bắt buộc chuyển mục đích đối với phần đất làm lối đi…</w:t>
      </w:r>
    </w:p>
    <w:p w:rsidR="00F17C78" w:rsidRPr="00D5070D" w:rsidRDefault="00F17C78" w:rsidP="008630DB">
      <w:pPr>
        <w:pStyle w:val="NormalWeb"/>
        <w:spacing w:before="40" w:beforeAutospacing="0" w:after="0" w:afterAutospacing="0" w:line="264" w:lineRule="auto"/>
        <w:ind w:firstLine="720"/>
        <w:jc w:val="both"/>
        <w:rPr>
          <w:sz w:val="28"/>
          <w:szCs w:val="28"/>
        </w:rPr>
      </w:pPr>
      <w:r w:rsidRPr="00D5070D">
        <w:rPr>
          <w:sz w:val="28"/>
          <w:szCs w:val="28"/>
        </w:rPr>
        <w:t>Theo khoản 3 Điều 159 </w:t>
      </w:r>
      <w:hyperlink r:id="rId9" w:history="1">
        <w:r w:rsidRPr="00D5070D">
          <w:rPr>
            <w:rStyle w:val="Hyperlink"/>
            <w:color w:val="auto"/>
            <w:sz w:val="28"/>
            <w:szCs w:val="28"/>
            <w:u w:val="none"/>
          </w:rPr>
          <w:t>Luật Đất đai 2024</w:t>
        </w:r>
      </w:hyperlink>
      <w:r w:rsidRPr="00D5070D">
        <w:rPr>
          <w:sz w:val="28"/>
          <w:szCs w:val="28"/>
        </w:rPr>
        <w:t>, Ủy ban nhân dân cấp tỉnh được giao xây dựng, trình Hội đồng nhân dân cùng cấp quyết định bảng giá đất lần đầu để công bố và áp dụng từ ngày 01/01/2026.</w:t>
      </w:r>
    </w:p>
    <w:p w:rsidR="00F17C78" w:rsidRPr="00D5070D" w:rsidRDefault="00F17C78" w:rsidP="008630DB">
      <w:pPr>
        <w:pStyle w:val="NormalWeb"/>
        <w:spacing w:before="40" w:beforeAutospacing="0" w:after="0" w:afterAutospacing="0" w:line="264" w:lineRule="auto"/>
        <w:ind w:firstLine="720"/>
        <w:jc w:val="both"/>
        <w:rPr>
          <w:sz w:val="28"/>
          <w:szCs w:val="28"/>
        </w:rPr>
      </w:pPr>
      <w:r w:rsidRPr="00D5070D">
        <w:rPr>
          <w:sz w:val="28"/>
          <w:szCs w:val="28"/>
        </w:rPr>
        <w:t>Hằng năm, Ủy ban nhân dân cấp tỉnh có trách nhiệm trình Hội đồng nhân dân cấp tỉnh quyết định điều chỉnh, sửa đổi, bổ sung bảng giá đất để công bố và áp dụng từ ngày 01 tháng 01 của năm tiếp theo.</w:t>
      </w:r>
    </w:p>
    <w:p w:rsidR="00F17C78" w:rsidRPr="00D5070D" w:rsidRDefault="00F17C78" w:rsidP="008630DB">
      <w:pPr>
        <w:pStyle w:val="NormalWeb"/>
        <w:spacing w:before="40" w:beforeAutospacing="0" w:after="0" w:afterAutospacing="0" w:line="264" w:lineRule="auto"/>
        <w:ind w:firstLine="720"/>
        <w:jc w:val="both"/>
        <w:rPr>
          <w:sz w:val="28"/>
          <w:szCs w:val="28"/>
        </w:rPr>
      </w:pPr>
      <w:r w:rsidRPr="00D5070D">
        <w:rPr>
          <w:sz w:val="28"/>
          <w:szCs w:val="28"/>
        </w:rPr>
        <w:t>Trường hợp cần thiết phải điều chỉnh, sửa đổi, bổ sung bảng giá đất trong năm, Ủy ban nhân dân cấp tỉnh có trách nhiệm trình Hội đồng nhân dân cấp tỉnh quyết định.</w:t>
      </w:r>
    </w:p>
    <w:p w:rsidR="00AF37A8" w:rsidRPr="00D5070D" w:rsidRDefault="00941C02" w:rsidP="008630DB">
      <w:pPr>
        <w:pStyle w:val="NormalWeb"/>
        <w:spacing w:before="40" w:beforeAutospacing="0" w:after="0" w:afterAutospacing="0" w:line="264" w:lineRule="auto"/>
        <w:ind w:firstLine="720"/>
        <w:jc w:val="both"/>
        <w:rPr>
          <w:sz w:val="28"/>
          <w:szCs w:val="28"/>
        </w:rPr>
      </w:pPr>
      <w:r w:rsidRPr="00D5070D">
        <w:rPr>
          <w:b/>
          <w:sz w:val="28"/>
          <w:szCs w:val="28"/>
        </w:rPr>
        <w:t>10</w:t>
      </w:r>
      <w:r w:rsidR="00AF37A8" w:rsidRPr="00D5070D">
        <w:rPr>
          <w:b/>
          <w:sz w:val="28"/>
          <w:szCs w:val="28"/>
        </w:rPr>
        <w:t xml:space="preserve">. Nghị quyết </w:t>
      </w:r>
      <w:r w:rsidR="00AE5187" w:rsidRPr="00D5070D">
        <w:rPr>
          <w:b/>
          <w:sz w:val="28"/>
          <w:szCs w:val="28"/>
        </w:rPr>
        <w:t xml:space="preserve">số </w:t>
      </w:r>
      <w:r w:rsidR="00AF37A8" w:rsidRPr="00D5070D">
        <w:rPr>
          <w:b/>
          <w:sz w:val="28"/>
          <w:szCs w:val="28"/>
        </w:rPr>
        <w:t xml:space="preserve">261/2025/QH15 </w:t>
      </w:r>
      <w:r w:rsidR="006F7069" w:rsidRPr="00D5070D">
        <w:rPr>
          <w:b/>
          <w:sz w:val="28"/>
          <w:szCs w:val="28"/>
        </w:rPr>
        <w:t xml:space="preserve">ngày 11/12/2025 của Quốc hội </w:t>
      </w:r>
      <w:r w:rsidR="00AF37A8" w:rsidRPr="00D5070D">
        <w:rPr>
          <w:b/>
          <w:sz w:val="28"/>
          <w:szCs w:val="28"/>
        </w:rPr>
        <w:t>về một số cơ chế, chính sách đặc biệt tạo đột phá cho công tác bảo vệ, chăm sóc và nâng cao sức khỏe nhân dân</w:t>
      </w:r>
      <w:r w:rsidR="006F7069" w:rsidRPr="00D5070D">
        <w:rPr>
          <w:sz w:val="28"/>
          <w:szCs w:val="28"/>
        </w:rPr>
        <w:t xml:space="preserve">, </w:t>
      </w:r>
      <w:r w:rsidR="006F7069" w:rsidRPr="00D5070D">
        <w:rPr>
          <w:b/>
          <w:sz w:val="28"/>
          <w:szCs w:val="28"/>
        </w:rPr>
        <w:t>có hiệu lực từ ngày 01/01/2026</w:t>
      </w:r>
    </w:p>
    <w:p w:rsidR="00AF37A8" w:rsidRPr="00D5070D" w:rsidRDefault="00AF37A8" w:rsidP="008630DB">
      <w:pPr>
        <w:pStyle w:val="NormalWeb"/>
        <w:spacing w:before="40" w:beforeAutospacing="0" w:after="0" w:afterAutospacing="0" w:line="264" w:lineRule="auto"/>
        <w:ind w:firstLine="720"/>
        <w:jc w:val="both"/>
        <w:rPr>
          <w:sz w:val="28"/>
          <w:szCs w:val="28"/>
        </w:rPr>
      </w:pPr>
      <w:r w:rsidRPr="00D5070D">
        <w:rPr>
          <w:sz w:val="28"/>
          <w:szCs w:val="28"/>
        </w:rPr>
        <w:t>Trong đó, người tham gia bảo hiểm y tế thuộc hộ gia đình cận nghèo, người cao tuổi từ đủ 75 tuổi trở lên đang hưởng trợ cấp hưu trí xã hội được áp dụng mức hưởng 100% chỉ phí khám bệnh, chữa bệnh trong phạm vi được hưởng của người tham gia bảo hiểm y tế.</w:t>
      </w:r>
    </w:p>
    <w:p w:rsidR="00AF37A8" w:rsidRPr="00D5070D" w:rsidRDefault="002B0CEC" w:rsidP="008630DB">
      <w:pPr>
        <w:pStyle w:val="NormalWeb"/>
        <w:spacing w:before="40" w:beforeAutospacing="0" w:after="0" w:afterAutospacing="0" w:line="274" w:lineRule="auto"/>
        <w:ind w:firstLine="720"/>
        <w:jc w:val="both"/>
        <w:rPr>
          <w:sz w:val="28"/>
          <w:szCs w:val="28"/>
        </w:rPr>
      </w:pPr>
      <w:r w:rsidRPr="00D5070D">
        <w:rPr>
          <w:sz w:val="28"/>
          <w:szCs w:val="28"/>
        </w:rPr>
        <w:t xml:space="preserve">Điều 3 của Nghị quyết quy định về </w:t>
      </w:r>
      <w:r w:rsidR="00AF37A8" w:rsidRPr="00D5070D">
        <w:rPr>
          <w:sz w:val="28"/>
          <w:szCs w:val="28"/>
        </w:rPr>
        <w:t>chế độ, chính sách về tiền lương, phụ cấp cho nhân viên y tế:</w:t>
      </w:r>
    </w:p>
    <w:p w:rsidR="00AF37A8" w:rsidRPr="00D5070D" w:rsidRDefault="000739DC" w:rsidP="008630DB">
      <w:pPr>
        <w:pStyle w:val="NormalWeb"/>
        <w:spacing w:before="40" w:beforeAutospacing="0" w:after="0" w:afterAutospacing="0" w:line="274" w:lineRule="auto"/>
        <w:ind w:firstLine="720"/>
        <w:jc w:val="both"/>
        <w:rPr>
          <w:sz w:val="28"/>
          <w:szCs w:val="28"/>
        </w:rPr>
      </w:pPr>
      <w:r w:rsidRPr="00D5070D">
        <w:rPr>
          <w:sz w:val="28"/>
          <w:szCs w:val="28"/>
        </w:rPr>
        <w:t>1.</w:t>
      </w:r>
      <w:r w:rsidR="00AF37A8" w:rsidRPr="00D5070D">
        <w:rPr>
          <w:sz w:val="28"/>
          <w:szCs w:val="28"/>
        </w:rPr>
        <w:t xml:space="preserve"> Bác sĩ y khoa, bác sĩ y học cổ truyền, bác sĩ răng hàm mặt, bác sĩ y học dự phòng, dược sĩ được xếp lương từ bậc 2 khi được tuyển dụng vào chức danh nghề nghiệp tương ứng cho đến khi có quy định mới về tiền lương.</w:t>
      </w:r>
    </w:p>
    <w:p w:rsidR="00AF37A8" w:rsidRPr="00D5070D" w:rsidRDefault="000739DC" w:rsidP="008630DB">
      <w:pPr>
        <w:pStyle w:val="NormalWeb"/>
        <w:spacing w:before="40" w:beforeAutospacing="0" w:after="0" w:afterAutospacing="0" w:line="274" w:lineRule="auto"/>
        <w:ind w:firstLine="720"/>
        <w:jc w:val="both"/>
        <w:rPr>
          <w:sz w:val="28"/>
          <w:szCs w:val="28"/>
        </w:rPr>
      </w:pPr>
      <w:r w:rsidRPr="00D5070D">
        <w:rPr>
          <w:sz w:val="28"/>
          <w:szCs w:val="28"/>
        </w:rPr>
        <w:t>2.</w:t>
      </w:r>
      <w:r w:rsidR="00AF37A8" w:rsidRPr="00D5070D">
        <w:rPr>
          <w:sz w:val="28"/>
          <w:szCs w:val="28"/>
        </w:rPr>
        <w:t xml:space="preserve"> Người thường xuyên và trực tiếp làm chuyên môn y tế thuộc lĩnh vực tâm thần, pháp y, pháp y tâm thần, hồi sức cấp cứu, giải phẫu bệnh được hưởng phụ cấp ưu đãi nghề ở mức 100%.</w:t>
      </w:r>
    </w:p>
    <w:p w:rsidR="00AF37A8" w:rsidRPr="00D5070D" w:rsidRDefault="000739DC" w:rsidP="008630DB">
      <w:pPr>
        <w:pStyle w:val="NormalWeb"/>
        <w:spacing w:before="40" w:beforeAutospacing="0" w:after="0" w:afterAutospacing="0" w:line="274" w:lineRule="auto"/>
        <w:ind w:firstLine="720"/>
        <w:jc w:val="both"/>
        <w:rPr>
          <w:sz w:val="28"/>
          <w:szCs w:val="28"/>
        </w:rPr>
      </w:pPr>
      <w:r w:rsidRPr="00D5070D">
        <w:rPr>
          <w:sz w:val="28"/>
          <w:szCs w:val="28"/>
        </w:rPr>
        <w:lastRenderedPageBreak/>
        <w:t>3.</w:t>
      </w:r>
      <w:r w:rsidR="00AF37A8" w:rsidRPr="00D5070D">
        <w:rPr>
          <w:sz w:val="28"/>
          <w:szCs w:val="28"/>
        </w:rPr>
        <w:t xml:space="preserve"> Người thường xuyên và trực tiếp làm chuyên môn y tế tại trạm y tế cấp xã, cơ sở y tế dự phòng được hưởng phụ cấp ưu đãi nghề như sau:</w:t>
      </w:r>
    </w:p>
    <w:p w:rsidR="00AF37A8" w:rsidRPr="00D5070D" w:rsidRDefault="000739DC" w:rsidP="008630DB">
      <w:pPr>
        <w:pStyle w:val="NormalWeb"/>
        <w:spacing w:before="40" w:beforeAutospacing="0" w:after="0" w:afterAutospacing="0" w:line="274" w:lineRule="auto"/>
        <w:ind w:firstLine="720"/>
        <w:jc w:val="both"/>
        <w:rPr>
          <w:sz w:val="28"/>
          <w:szCs w:val="28"/>
        </w:rPr>
      </w:pPr>
      <w:r w:rsidRPr="00D5070D">
        <w:rPr>
          <w:sz w:val="28"/>
          <w:szCs w:val="28"/>
        </w:rPr>
        <w:t>a.</w:t>
      </w:r>
      <w:r w:rsidR="00AF37A8" w:rsidRPr="00D5070D">
        <w:rPr>
          <w:sz w:val="28"/>
          <w:szCs w:val="28"/>
        </w:rPr>
        <w:t xml:space="preserve"> 100% đối với khu vực vùng đồng bào dân tộc thiểu số và miền núi, vùng có điều kiện kinh tế - xã hội khó khăn, vùng có điều kiện kinh tế - xã hội đặc biệt khó khăn, biên giới, hải đảo;</w:t>
      </w:r>
    </w:p>
    <w:p w:rsidR="00D5070D" w:rsidRPr="00D5070D" w:rsidRDefault="000739DC" w:rsidP="00D5070D">
      <w:pPr>
        <w:pStyle w:val="NormalWeb"/>
        <w:spacing w:before="40" w:beforeAutospacing="0" w:after="0" w:afterAutospacing="0" w:line="274" w:lineRule="auto"/>
        <w:ind w:firstLine="720"/>
        <w:jc w:val="both"/>
        <w:rPr>
          <w:sz w:val="28"/>
          <w:szCs w:val="28"/>
        </w:rPr>
      </w:pPr>
      <w:r w:rsidRPr="00D5070D">
        <w:rPr>
          <w:sz w:val="28"/>
          <w:szCs w:val="28"/>
        </w:rPr>
        <w:t>b.</w:t>
      </w:r>
      <w:r w:rsidR="00AF37A8" w:rsidRPr="00D5070D">
        <w:rPr>
          <w:sz w:val="28"/>
          <w:szCs w:val="28"/>
        </w:rPr>
        <w:t xml:space="preserve"> Tối thiểu 70% đối với trường hợp không thuộc điểm a khoản này.</w:t>
      </w:r>
    </w:p>
    <w:p w:rsidR="00BD20B5" w:rsidRPr="00D5070D" w:rsidRDefault="00941C02" w:rsidP="00D5070D">
      <w:pPr>
        <w:pStyle w:val="NormalWeb"/>
        <w:spacing w:before="40" w:beforeAutospacing="0" w:after="0" w:afterAutospacing="0" w:line="274" w:lineRule="auto"/>
        <w:ind w:firstLine="720"/>
        <w:jc w:val="both"/>
        <w:rPr>
          <w:b/>
          <w:sz w:val="28"/>
          <w:szCs w:val="28"/>
        </w:rPr>
      </w:pPr>
      <w:r w:rsidRPr="00D5070D">
        <w:rPr>
          <w:b/>
          <w:sz w:val="28"/>
          <w:szCs w:val="28"/>
        </w:rPr>
        <w:t>11</w:t>
      </w:r>
      <w:r w:rsidR="00F17C78" w:rsidRPr="00D5070D">
        <w:rPr>
          <w:b/>
          <w:sz w:val="28"/>
          <w:szCs w:val="28"/>
        </w:rPr>
        <w:t xml:space="preserve">. Nghị quyết số 110/2025/UBTVQH15 ngày 17/10/2025 của Ủy ban thường vụ Quốc hội </w:t>
      </w:r>
      <w:r w:rsidR="006678A7" w:rsidRPr="00D5070D">
        <w:rPr>
          <w:b/>
          <w:sz w:val="28"/>
          <w:szCs w:val="28"/>
        </w:rPr>
        <w:t xml:space="preserve">thông qua ngày 17/10/2025 </w:t>
      </w:r>
      <w:r w:rsidR="00F17C78" w:rsidRPr="00D5070D">
        <w:rPr>
          <w:b/>
          <w:sz w:val="28"/>
          <w:szCs w:val="28"/>
        </w:rPr>
        <w:t>về điều chỉnh mức giảm trừ gia cảnh thuế thu nhập cá nhân, có hiệu lực từ ngày 01/01/2026</w:t>
      </w:r>
    </w:p>
    <w:p w:rsidR="00BD20B5" w:rsidRPr="00D5070D" w:rsidRDefault="00BD20B5" w:rsidP="008630DB">
      <w:pPr>
        <w:pStyle w:val="Heading1"/>
        <w:spacing w:before="40" w:line="27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Theo đó, mức giảm trừ gia cảnh của thuế thu nhập cá nhân được điều chỉnh tăng như sau:</w:t>
      </w:r>
    </w:p>
    <w:p w:rsidR="00BD20B5" w:rsidRPr="00D5070D" w:rsidRDefault="00BD20B5" w:rsidP="008630DB">
      <w:pPr>
        <w:pStyle w:val="Heading1"/>
        <w:spacing w:before="40" w:line="27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Giảm trừ cho bản thân người nộp thuế: 15,5 triệu đồng/tháng (tương đương 186 triệu đồng/năm). Trong khi đó, theo quy định cũ là 11 triệu đồng/tháng (132 triệu đồng/năm).</w:t>
      </w:r>
    </w:p>
    <w:p w:rsidR="00BD20B5" w:rsidRPr="00D5070D" w:rsidRDefault="00BD20B5" w:rsidP="008630DB">
      <w:pPr>
        <w:pStyle w:val="Heading1"/>
        <w:spacing w:before="40" w:line="274" w:lineRule="auto"/>
        <w:ind w:firstLine="720"/>
        <w:jc w:val="both"/>
        <w:rPr>
          <w:rFonts w:ascii="Times New Roman" w:hAnsi="Times New Roman" w:cs="Times New Roman"/>
          <w:b w:val="0"/>
          <w:color w:val="auto"/>
          <w:lang w:val="en-US"/>
        </w:rPr>
      </w:pPr>
      <w:r w:rsidRPr="00D5070D">
        <w:rPr>
          <w:rFonts w:ascii="Times New Roman" w:hAnsi="Times New Roman" w:cs="Times New Roman"/>
          <w:b w:val="0"/>
          <w:color w:val="auto"/>
        </w:rPr>
        <w:t>Giảm trừ cho mỗi người phụ thuộc: 6,2 triệu đồng/tháng. Trong khi đó, theo quy định cũ là 4,4 triệu đồng/tháng.</w:t>
      </w:r>
    </w:p>
    <w:p w:rsidR="004538D8" w:rsidRPr="00D5070D" w:rsidRDefault="00941C02" w:rsidP="008630DB">
      <w:pPr>
        <w:pStyle w:val="Heading1"/>
        <w:spacing w:before="40" w:line="274" w:lineRule="auto"/>
        <w:ind w:firstLine="720"/>
        <w:jc w:val="both"/>
        <w:rPr>
          <w:rFonts w:ascii="Times New Roman" w:hAnsi="Times New Roman" w:cs="Times New Roman"/>
          <w:color w:val="auto"/>
          <w:lang w:val="en-US"/>
        </w:rPr>
      </w:pPr>
      <w:r w:rsidRPr="00D5070D">
        <w:rPr>
          <w:rFonts w:ascii="Times New Roman" w:hAnsi="Times New Roman" w:cs="Times New Roman"/>
          <w:color w:val="auto"/>
          <w:lang w:val="en-US"/>
        </w:rPr>
        <w:t>12</w:t>
      </w:r>
      <w:r w:rsidR="004538D8" w:rsidRPr="00D5070D">
        <w:rPr>
          <w:rFonts w:ascii="Times New Roman" w:hAnsi="Times New Roman" w:cs="Times New Roman"/>
          <w:color w:val="auto"/>
          <w:lang w:val="en-US"/>
        </w:rPr>
        <w:t>.</w:t>
      </w:r>
      <w:r w:rsidR="004538D8" w:rsidRPr="00D5070D">
        <w:rPr>
          <w:rFonts w:ascii="Times New Roman" w:hAnsi="Times New Roman" w:cs="Times New Roman"/>
          <w:color w:val="auto"/>
        </w:rPr>
        <w:t xml:space="preserve"> Nghị quyết </w:t>
      </w:r>
      <w:r w:rsidR="004538D8" w:rsidRPr="00D5070D">
        <w:rPr>
          <w:rFonts w:ascii="Times New Roman" w:hAnsi="Times New Roman" w:cs="Times New Roman"/>
          <w:color w:val="auto"/>
          <w:lang w:val="en-US"/>
        </w:rPr>
        <w:t xml:space="preserve">số </w:t>
      </w:r>
      <w:r w:rsidR="004538D8" w:rsidRPr="00D5070D">
        <w:rPr>
          <w:rFonts w:ascii="Times New Roman" w:hAnsi="Times New Roman" w:cs="Times New Roman"/>
          <w:color w:val="auto"/>
        </w:rPr>
        <w:t xml:space="preserve">198/2025/QH15 </w:t>
      </w:r>
      <w:r w:rsidR="004E6685" w:rsidRPr="00D5070D">
        <w:rPr>
          <w:rFonts w:ascii="Times New Roman" w:hAnsi="Times New Roman" w:cs="Times New Roman"/>
          <w:color w:val="auto"/>
          <w:lang w:val="en-US"/>
        </w:rPr>
        <w:t>ngày 17/5/2025 của</w:t>
      </w:r>
      <w:r w:rsidR="00EA5CA6" w:rsidRPr="00D5070D">
        <w:rPr>
          <w:rFonts w:ascii="Times New Roman" w:hAnsi="Times New Roman" w:cs="Times New Roman"/>
          <w:color w:val="auto"/>
          <w:lang w:val="en-US"/>
        </w:rPr>
        <w:t xml:space="preserve"> Quốc hộ</w:t>
      </w:r>
      <w:r w:rsidR="004E6685" w:rsidRPr="00D5070D">
        <w:rPr>
          <w:rFonts w:ascii="Times New Roman" w:hAnsi="Times New Roman" w:cs="Times New Roman"/>
          <w:color w:val="auto"/>
          <w:lang w:val="en-US"/>
        </w:rPr>
        <w:t xml:space="preserve">i </w:t>
      </w:r>
      <w:r w:rsidR="004538D8" w:rsidRPr="00D5070D">
        <w:rPr>
          <w:rFonts w:ascii="Times New Roman" w:hAnsi="Times New Roman" w:cs="Times New Roman"/>
          <w:color w:val="auto"/>
        </w:rPr>
        <w:t xml:space="preserve">về cơ chế, chính sách phát triển </w:t>
      </w:r>
      <w:r w:rsidR="004538D8" w:rsidRPr="00D5070D">
        <w:rPr>
          <w:rFonts w:ascii="Times New Roman" w:hAnsi="Times New Roman" w:cs="Times New Roman"/>
          <w:color w:val="auto"/>
          <w:lang w:val="en-US"/>
        </w:rPr>
        <w:t xml:space="preserve">đặc biệt phát triển </w:t>
      </w:r>
      <w:r w:rsidR="004538D8" w:rsidRPr="00D5070D">
        <w:rPr>
          <w:rFonts w:ascii="Times New Roman" w:hAnsi="Times New Roman" w:cs="Times New Roman"/>
          <w:color w:val="auto"/>
        </w:rPr>
        <w:t>kinh tế tư nhân</w:t>
      </w:r>
      <w:r w:rsidR="00EA5CA6" w:rsidRPr="00D5070D">
        <w:rPr>
          <w:rFonts w:ascii="Times New Roman" w:hAnsi="Times New Roman" w:cs="Times New Roman"/>
          <w:color w:val="auto"/>
          <w:lang w:val="en-US"/>
        </w:rPr>
        <w:t>, có hiệu lực kể từ ngày 01/01/2026</w:t>
      </w:r>
    </w:p>
    <w:p w:rsidR="00E559D3" w:rsidRPr="00D5070D" w:rsidRDefault="00E559D3" w:rsidP="008630DB">
      <w:pPr>
        <w:spacing w:before="40" w:after="0" w:line="27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lang w:val="en-US"/>
        </w:rPr>
        <w:t>Theo đó, t</w:t>
      </w:r>
      <w:r w:rsidRPr="00D5070D">
        <w:rPr>
          <w:rFonts w:ascii="Times New Roman" w:hAnsi="Times New Roman" w:cs="Times New Roman"/>
          <w:sz w:val="28"/>
          <w:szCs w:val="28"/>
        </w:rPr>
        <w:t>ại khoản 6 Điều 10 </w:t>
      </w:r>
      <w:hyperlink r:id="rId10" w:history="1">
        <w:r w:rsidRPr="00D5070D">
          <w:rPr>
            <w:rStyle w:val="Hyperlink"/>
            <w:rFonts w:ascii="Times New Roman" w:hAnsi="Times New Roman" w:cs="Times New Roman"/>
            <w:color w:val="auto"/>
            <w:sz w:val="28"/>
            <w:szCs w:val="28"/>
            <w:u w:val="none"/>
          </w:rPr>
          <w:t>Nghị quyết 198/2025/QH15</w:t>
        </w:r>
      </w:hyperlink>
      <w:r w:rsidRPr="00D5070D">
        <w:rPr>
          <w:rFonts w:ascii="Times New Roman" w:hAnsi="Times New Roman" w:cs="Times New Roman"/>
          <w:sz w:val="28"/>
          <w:szCs w:val="28"/>
        </w:rPr>
        <w:t xml:space="preserve"> quy định: Hộ kinh doanh, cá nhân kinh doanh không áp dụng phương pháp khoán thuế </w:t>
      </w:r>
      <w:r w:rsidRPr="00D5070D">
        <w:rPr>
          <w:rFonts w:ascii="Times New Roman" w:hAnsi="Times New Roman" w:cs="Times New Roman"/>
          <w:b/>
          <w:sz w:val="28"/>
          <w:szCs w:val="28"/>
        </w:rPr>
        <w:t>từ ngày 01/01/2026</w:t>
      </w:r>
      <w:r w:rsidRPr="00D5070D">
        <w:rPr>
          <w:rFonts w:ascii="Times New Roman" w:hAnsi="Times New Roman" w:cs="Times New Roman"/>
          <w:sz w:val="28"/>
          <w:szCs w:val="28"/>
        </w:rPr>
        <w:t>. Thay vào đó hộ kinh doanh phải nộp thuế theo phương pháp kê khai.</w:t>
      </w:r>
    </w:p>
    <w:p w:rsidR="00E559D3" w:rsidRPr="00D5070D" w:rsidRDefault="00E559D3" w:rsidP="008630DB">
      <w:pPr>
        <w:pStyle w:val="NormalWeb"/>
        <w:spacing w:before="40" w:beforeAutospacing="0" w:after="0" w:afterAutospacing="0" w:line="274" w:lineRule="auto"/>
        <w:ind w:firstLine="720"/>
        <w:jc w:val="both"/>
        <w:rPr>
          <w:sz w:val="28"/>
          <w:szCs w:val="28"/>
        </w:rPr>
      </w:pPr>
      <w:r w:rsidRPr="00D5070D">
        <w:rPr>
          <w:sz w:val="28"/>
          <w:szCs w:val="28"/>
        </w:rPr>
        <w:t>Khi hộ kinh doanh đã chính thức nộp thuế theo phương pháp kê khai, hộ kinh doanh bắt buộc phải có đầy đủ hóa đơn, chứng từ hợp lệ cho cả hàng hóa, dịch vụ mua vào và bán ra.</w:t>
      </w:r>
    </w:p>
    <w:p w:rsidR="004538D8" w:rsidRPr="00D5070D" w:rsidRDefault="00E559D3" w:rsidP="008630DB">
      <w:pPr>
        <w:pStyle w:val="NormalWeb"/>
        <w:spacing w:before="40" w:beforeAutospacing="0" w:after="0" w:afterAutospacing="0" w:line="274" w:lineRule="auto"/>
        <w:ind w:firstLine="720"/>
        <w:jc w:val="both"/>
        <w:rPr>
          <w:sz w:val="28"/>
          <w:szCs w:val="28"/>
        </w:rPr>
      </w:pPr>
      <w:r w:rsidRPr="00D5070D">
        <w:rPr>
          <w:sz w:val="28"/>
          <w:szCs w:val="28"/>
        </w:rPr>
        <w:t>Đồng thời, điều chỉnh mức doanh thu không phải nộp thuế của hộ, cá nhân kinh doanh từ 200 triệu đồng/năm lên 500 triệu đồng/năm và cho trừ mức này trước khi tính thuế theo tỷ lệ trên doanh thu. </w:t>
      </w:r>
    </w:p>
    <w:p w:rsidR="00345C7E" w:rsidRPr="00D5070D" w:rsidRDefault="00345C7E" w:rsidP="008630DB">
      <w:pPr>
        <w:pStyle w:val="NormalWeb"/>
        <w:spacing w:before="40" w:beforeAutospacing="0" w:after="0" w:afterAutospacing="0" w:line="264" w:lineRule="auto"/>
        <w:ind w:firstLine="720"/>
        <w:jc w:val="both"/>
        <w:rPr>
          <w:sz w:val="28"/>
          <w:szCs w:val="28"/>
        </w:rPr>
      </w:pPr>
      <w:r w:rsidRPr="00D5070D">
        <w:rPr>
          <w:sz w:val="28"/>
          <w:szCs w:val="28"/>
        </w:rPr>
        <w:t>Ngoài ra từ ngày 01/01/2026, doanh nghiệp, hộ kinh doanh sẽ được miễn lệ phí môn bài. Nghị quyết này cũng đưa ra nhiều biện pháp hỗ trợ thuế, phí, lệ phí nhằm thúc đẩy phát triển kinh tế tư nhân.</w:t>
      </w:r>
    </w:p>
    <w:p w:rsidR="00DB2C1F" w:rsidRPr="00D5070D" w:rsidRDefault="00941C02" w:rsidP="008630DB">
      <w:pPr>
        <w:pStyle w:val="Heading1"/>
        <w:spacing w:before="40" w:line="264" w:lineRule="auto"/>
        <w:ind w:firstLine="720"/>
        <w:jc w:val="both"/>
        <w:rPr>
          <w:rFonts w:ascii="Times New Roman" w:hAnsi="Times New Roman" w:cs="Times New Roman"/>
          <w:color w:val="auto"/>
          <w:lang w:val="en-US"/>
        </w:rPr>
      </w:pPr>
      <w:r w:rsidRPr="00D5070D">
        <w:rPr>
          <w:rFonts w:ascii="Times New Roman" w:hAnsi="Times New Roman" w:cs="Times New Roman"/>
          <w:color w:val="auto"/>
          <w:lang w:val="en-GB"/>
        </w:rPr>
        <w:t>13</w:t>
      </w:r>
      <w:r w:rsidR="00DB2C1F" w:rsidRPr="00D5070D">
        <w:rPr>
          <w:rFonts w:ascii="Times New Roman" w:hAnsi="Times New Roman" w:cs="Times New Roman"/>
          <w:color w:val="auto"/>
        </w:rPr>
        <w:t xml:space="preserve">. Nghị quyết </w:t>
      </w:r>
      <w:r w:rsidR="00DB2C1F" w:rsidRPr="00D5070D">
        <w:rPr>
          <w:rFonts w:ascii="Times New Roman" w:hAnsi="Times New Roman" w:cs="Times New Roman"/>
          <w:color w:val="auto"/>
          <w:lang w:val="en-US"/>
        </w:rPr>
        <w:t xml:space="preserve">số </w:t>
      </w:r>
      <w:r w:rsidR="00DB2C1F" w:rsidRPr="00D5070D">
        <w:rPr>
          <w:rFonts w:ascii="Times New Roman" w:hAnsi="Times New Roman" w:cs="Times New Roman"/>
          <w:color w:val="auto"/>
        </w:rPr>
        <w:t>109/2025/UBTVQH15 về thuế bảo vệ môi trường cho xăng dầu mỡ nhờn</w:t>
      </w:r>
      <w:r w:rsidR="00DB2C1F" w:rsidRPr="00D5070D">
        <w:rPr>
          <w:rFonts w:ascii="Times New Roman" w:hAnsi="Times New Roman" w:cs="Times New Roman"/>
          <w:color w:val="auto"/>
          <w:lang w:val="en-US"/>
        </w:rPr>
        <w:t>, có hiệu lực từ ngày 01/01/2026</w:t>
      </w:r>
    </w:p>
    <w:p w:rsidR="00DB2C1F" w:rsidRPr="00D5070D" w:rsidRDefault="00DB2C1F" w:rsidP="008630DB">
      <w:pPr>
        <w:pStyle w:val="NormalWeb"/>
        <w:spacing w:before="40" w:beforeAutospacing="0" w:after="0" w:afterAutospacing="0" w:line="264" w:lineRule="auto"/>
        <w:ind w:firstLine="720"/>
        <w:jc w:val="both"/>
        <w:rPr>
          <w:spacing w:val="-2"/>
          <w:sz w:val="28"/>
          <w:szCs w:val="28"/>
        </w:rPr>
      </w:pPr>
      <w:r w:rsidRPr="00D5070D">
        <w:rPr>
          <w:spacing w:val="-2"/>
          <w:sz w:val="28"/>
          <w:szCs w:val="28"/>
        </w:rPr>
        <w:t>Theo </w:t>
      </w:r>
      <w:hyperlink r:id="rId11" w:history="1">
        <w:r w:rsidRPr="00D5070D">
          <w:rPr>
            <w:rStyle w:val="Hyperlink"/>
            <w:color w:val="auto"/>
            <w:spacing w:val="-2"/>
            <w:sz w:val="28"/>
            <w:szCs w:val="28"/>
            <w:u w:val="none"/>
          </w:rPr>
          <w:t>đó</w:t>
        </w:r>
      </w:hyperlink>
      <w:r w:rsidRPr="00D5070D">
        <w:rPr>
          <w:spacing w:val="-2"/>
          <w:sz w:val="28"/>
          <w:szCs w:val="28"/>
        </w:rPr>
        <w:t>, mức thuế bảo vệ môi trường với xăng dầu, mỡ nhờn tục giảm 50% trong năm 2026 như mức thuế áp dụng trong năm 2025 (trừ nhiên liệu bay).</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lastRenderedPageBreak/>
        <w:t>Cụ thể, Điều 1 Nghị quyết 109/2025/UBTVQH15 quy định mức thuế bảo vệ môi trường đối với xăng, dầu, mỡ nhờn từ ngày 01/01/2026 đến hết ngày 31/12/2026 được như sau:</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Xăng (trừ etanol): 2.000 đồng/lít</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Nhiên liệu bay: 1.500 đồng/lít</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Dầu diesel: 1.000 đồng/lít</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Dầu hỏa: 600 đồng/lít</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Dầu mazut: 1.000 đồng/lít</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Dầu nhờn: 1.000 đồng/lít</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 Mỡ nhờn: 1.000 đồng/kg</w:t>
      </w:r>
    </w:p>
    <w:p w:rsidR="00DB2C1F" w:rsidRPr="00D5070D" w:rsidRDefault="00DB2C1F" w:rsidP="008630DB">
      <w:pPr>
        <w:pStyle w:val="NormalWeb"/>
        <w:spacing w:before="40" w:beforeAutospacing="0" w:after="0" w:afterAutospacing="0" w:line="264" w:lineRule="auto"/>
        <w:ind w:firstLine="720"/>
        <w:jc w:val="both"/>
        <w:rPr>
          <w:sz w:val="28"/>
          <w:szCs w:val="28"/>
        </w:rPr>
      </w:pPr>
      <w:r w:rsidRPr="00D5070D">
        <w:rPr>
          <w:sz w:val="28"/>
          <w:szCs w:val="28"/>
        </w:rPr>
        <w:t>Từ ngày 01/01/2027 trở đi được thực hiện theo quy định tại Mục I khoản 1 Điều 1 của Nghị quyết 579/2018/UBTVQH14 (tức sẽ mức thuế sẽ tăng trở lại nếu không có Nghị quyết tiếp tục giảm).</w:t>
      </w:r>
    </w:p>
    <w:p w:rsidR="00954BE1" w:rsidRPr="00D5070D" w:rsidRDefault="00941C02" w:rsidP="008630DB">
      <w:pPr>
        <w:pStyle w:val="Heading1"/>
        <w:spacing w:before="40" w:line="264" w:lineRule="auto"/>
        <w:ind w:firstLine="720"/>
        <w:jc w:val="both"/>
        <w:rPr>
          <w:rFonts w:ascii="Times New Roman" w:hAnsi="Times New Roman" w:cs="Times New Roman"/>
          <w:color w:val="auto"/>
          <w:lang w:val="en-US"/>
        </w:rPr>
      </w:pPr>
      <w:r w:rsidRPr="00D5070D">
        <w:rPr>
          <w:rFonts w:ascii="Times New Roman" w:hAnsi="Times New Roman" w:cs="Times New Roman"/>
          <w:color w:val="auto"/>
          <w:lang w:val="en-US"/>
        </w:rPr>
        <w:t>14</w:t>
      </w:r>
      <w:r w:rsidR="00954BE1" w:rsidRPr="00D5070D">
        <w:rPr>
          <w:rFonts w:ascii="Times New Roman" w:hAnsi="Times New Roman" w:cs="Times New Roman"/>
          <w:color w:val="auto"/>
        </w:rPr>
        <w:t xml:space="preserve">. Nghị định </w:t>
      </w:r>
      <w:r w:rsidR="00954BE1" w:rsidRPr="00D5070D">
        <w:rPr>
          <w:rFonts w:ascii="Times New Roman" w:hAnsi="Times New Roman" w:cs="Times New Roman"/>
          <w:color w:val="auto"/>
          <w:lang w:val="en-US"/>
        </w:rPr>
        <w:t xml:space="preserve">số </w:t>
      </w:r>
      <w:r w:rsidR="00954BE1" w:rsidRPr="00D5070D">
        <w:rPr>
          <w:rFonts w:ascii="Times New Roman" w:hAnsi="Times New Roman" w:cs="Times New Roman"/>
          <w:color w:val="auto"/>
        </w:rPr>
        <w:t>293/2025/NĐ-CP</w:t>
      </w:r>
      <w:r w:rsidR="00954BE1" w:rsidRPr="00D5070D">
        <w:rPr>
          <w:rFonts w:ascii="Times New Roman" w:hAnsi="Times New Roman" w:cs="Times New Roman"/>
          <w:color w:val="auto"/>
          <w:lang w:val="en-US"/>
        </w:rPr>
        <w:t xml:space="preserve"> ngày 10/11/2025 của Chính phủ</w:t>
      </w:r>
      <w:r w:rsidR="00954BE1" w:rsidRPr="00D5070D">
        <w:rPr>
          <w:rFonts w:ascii="Times New Roman" w:hAnsi="Times New Roman" w:cs="Times New Roman"/>
          <w:color w:val="auto"/>
        </w:rPr>
        <w:t xml:space="preserve"> quy định lương tối thiểu </w:t>
      </w:r>
      <w:r w:rsidR="003565E3" w:rsidRPr="00D5070D">
        <w:rPr>
          <w:rFonts w:ascii="Times New Roman" w:hAnsi="Times New Roman" w:cs="Times New Roman"/>
          <w:color w:val="auto"/>
          <w:lang w:val="en-US"/>
        </w:rPr>
        <w:t xml:space="preserve">đối với người </w:t>
      </w:r>
      <w:r w:rsidR="00954BE1" w:rsidRPr="00D5070D">
        <w:rPr>
          <w:rFonts w:ascii="Times New Roman" w:hAnsi="Times New Roman" w:cs="Times New Roman"/>
          <w:color w:val="auto"/>
        </w:rPr>
        <w:t xml:space="preserve">lao động </w:t>
      </w:r>
      <w:r w:rsidR="003565E3" w:rsidRPr="00D5070D">
        <w:rPr>
          <w:rFonts w:ascii="Times New Roman" w:hAnsi="Times New Roman" w:cs="Times New Roman"/>
          <w:color w:val="auto"/>
          <w:lang w:val="en-US"/>
        </w:rPr>
        <w:t xml:space="preserve">làm việc theo </w:t>
      </w:r>
      <w:r w:rsidR="00954BE1" w:rsidRPr="00D5070D">
        <w:rPr>
          <w:rFonts w:ascii="Times New Roman" w:hAnsi="Times New Roman" w:cs="Times New Roman"/>
          <w:color w:val="auto"/>
        </w:rPr>
        <w:t>hợp đồng</w:t>
      </w:r>
      <w:r w:rsidR="003565E3" w:rsidRPr="00D5070D">
        <w:rPr>
          <w:rFonts w:ascii="Times New Roman" w:hAnsi="Times New Roman" w:cs="Times New Roman"/>
          <w:color w:val="auto"/>
          <w:lang w:val="en-US"/>
        </w:rPr>
        <w:t xml:space="preserve"> lao động, có hiệu lực từ ngày 01/01/2026</w:t>
      </w:r>
    </w:p>
    <w:p w:rsidR="003565E3" w:rsidRPr="00D5070D" w:rsidRDefault="003565E3"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lang w:val="en-US"/>
        </w:rPr>
        <w:t>Một trong những điểm mới của Nghị định là tăng mức lương tối thiểu đối với người lao động làm việc theo hợp đồng lao động.</w:t>
      </w:r>
    </w:p>
    <w:p w:rsidR="003565E3" w:rsidRPr="00D5070D" w:rsidRDefault="003565E3"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lang w:val="en-US"/>
        </w:rPr>
        <w:t xml:space="preserve">Theo đó, từ 01/01/2026 </w:t>
      </w:r>
      <w:r w:rsidRPr="00D5070D">
        <w:rPr>
          <w:rFonts w:ascii="Times New Roman" w:hAnsi="Times New Roman" w:cs="Times New Roman"/>
          <w:sz w:val="28"/>
          <w:szCs w:val="28"/>
        </w:rPr>
        <w:t>mức lương tối thiểu đối với người lao động làm việc theo hợp đồng lao động tăng từ 250.000 đồng - 350.000 đồng/tháng so với quy định tại Nghị định 74/2024/NĐ-CP.</w:t>
      </w:r>
    </w:p>
    <w:p w:rsidR="00CD722F" w:rsidRPr="00D5070D" w:rsidRDefault="00CD722F"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rPr>
        <w:t>Theo Nghị đị</w:t>
      </w:r>
      <w:r w:rsidR="00C97707" w:rsidRPr="00D5070D">
        <w:rPr>
          <w:rFonts w:ascii="Times New Roman" w:hAnsi="Times New Roman" w:cs="Times New Roman"/>
          <w:sz w:val="28"/>
          <w:szCs w:val="28"/>
        </w:rPr>
        <w:t>nh</w:t>
      </w:r>
      <w:r w:rsidRPr="00D5070D">
        <w:rPr>
          <w:rFonts w:ascii="Times New Roman" w:hAnsi="Times New Roman" w:cs="Times New Roman"/>
          <w:sz w:val="28"/>
          <w:szCs w:val="28"/>
        </w:rPr>
        <w:t>, mức lương tối thiểu tháng tại 4 vùng được quy định như sau: Vùng I tăng 350.000 đồng, từ 4.960.000 đồng/tháng lên 5.310.000 đồng/tháng; Vùng II tăng 320.000 đồng, từ 4.410.000 đồng/tháng lên 4.730.000 đồng/tháng; Vùng III tăng 280.000 đồng từ 3.860 đồng/tháng lên 4.140.000 đồng/tháng; Vùng IV tăng 250.000 đồng từ 3.450.000 đồng/tháng lên 3.700.000 đồng/tháng.</w:t>
      </w:r>
    </w:p>
    <w:p w:rsidR="00911EDC" w:rsidRPr="00D5070D" w:rsidRDefault="00911EDC"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rPr>
        <w:t>Mức lương tối thiểu theo giờ tại vùng I tăng từ 23.800 đồng/giờ lên 25.500 đồng/giờ, vùng II từ 21.200 đồng/giờ lên 22.700 đồng/giờ, vùng III từ 18.600 đồng/giờ lên 20.000 đồng/giờ, vùng IV từ 16.600 đồng/giờ lên 17.800 đồng/giờ</w:t>
      </w:r>
      <w:r w:rsidRPr="00D5070D">
        <w:rPr>
          <w:rFonts w:ascii="Times New Roman" w:hAnsi="Times New Roman" w:cs="Times New Roman"/>
          <w:sz w:val="28"/>
          <w:szCs w:val="28"/>
          <w:lang w:val="en-US"/>
        </w:rPr>
        <w:t>.</w:t>
      </w:r>
    </w:p>
    <w:p w:rsidR="00911EDC" w:rsidRPr="00D5070D" w:rsidRDefault="00911EDC"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rPr>
        <w:t>Như vậy, mức lương tối thiểu nêu trên tăng từ 250.000 đồng - 350.000 đồng/tháng (tương ứng tỷ lệ bình quân 7,2%) so với mức lương tối thiểu hiện hành quy định tại Nghị định 74/2024/NĐ-CP</w:t>
      </w:r>
      <w:r w:rsidR="00FE35A5" w:rsidRPr="00D5070D">
        <w:rPr>
          <w:rFonts w:ascii="Times New Roman" w:hAnsi="Times New Roman" w:cs="Times New Roman"/>
          <w:sz w:val="28"/>
          <w:szCs w:val="28"/>
          <w:lang w:val="en-US"/>
        </w:rPr>
        <w:t>.</w:t>
      </w:r>
    </w:p>
    <w:p w:rsidR="00071CFB" w:rsidRPr="00D5070D" w:rsidRDefault="00941C02" w:rsidP="008630DB">
      <w:pPr>
        <w:pStyle w:val="Heading1"/>
        <w:spacing w:before="40" w:line="264" w:lineRule="auto"/>
        <w:ind w:firstLine="720"/>
        <w:jc w:val="both"/>
        <w:rPr>
          <w:rFonts w:ascii="Times New Roman" w:hAnsi="Times New Roman" w:cs="Times New Roman"/>
          <w:color w:val="auto"/>
          <w:lang w:val="en-US"/>
        </w:rPr>
      </w:pPr>
      <w:r w:rsidRPr="00D5070D">
        <w:rPr>
          <w:rFonts w:ascii="Times New Roman" w:hAnsi="Times New Roman" w:cs="Times New Roman"/>
          <w:color w:val="auto"/>
          <w:lang w:val="en-US"/>
        </w:rPr>
        <w:lastRenderedPageBreak/>
        <w:t>15</w:t>
      </w:r>
      <w:r w:rsidR="00071CFB" w:rsidRPr="00D5070D">
        <w:rPr>
          <w:rFonts w:ascii="Times New Roman" w:hAnsi="Times New Roman" w:cs="Times New Roman"/>
          <w:color w:val="auto"/>
          <w:lang w:val="en-US"/>
        </w:rPr>
        <w:t>.</w:t>
      </w:r>
      <w:r w:rsidR="00071CFB" w:rsidRPr="00D5070D">
        <w:rPr>
          <w:rFonts w:ascii="Times New Roman" w:hAnsi="Times New Roman" w:cs="Times New Roman"/>
          <w:color w:val="auto"/>
        </w:rPr>
        <w:t xml:space="preserve"> Nghị định </w:t>
      </w:r>
      <w:r w:rsidR="00071CFB" w:rsidRPr="00D5070D">
        <w:rPr>
          <w:rFonts w:ascii="Times New Roman" w:hAnsi="Times New Roman" w:cs="Times New Roman"/>
          <w:color w:val="auto"/>
          <w:lang w:val="en-US"/>
        </w:rPr>
        <w:t xml:space="preserve">số </w:t>
      </w:r>
      <w:r w:rsidR="00071CFB" w:rsidRPr="00D5070D">
        <w:rPr>
          <w:rFonts w:ascii="Times New Roman" w:hAnsi="Times New Roman" w:cs="Times New Roman"/>
          <w:color w:val="auto"/>
        </w:rPr>
        <w:t xml:space="preserve">310/2025/NĐ-CP </w:t>
      </w:r>
      <w:r w:rsidR="00071CFB" w:rsidRPr="00D5070D">
        <w:rPr>
          <w:rFonts w:ascii="Times New Roman" w:hAnsi="Times New Roman" w:cs="Times New Roman"/>
          <w:color w:val="auto"/>
          <w:lang w:val="en-US"/>
        </w:rPr>
        <w:t xml:space="preserve">ngày 02/12/2025 của Nghị định </w:t>
      </w:r>
      <w:r w:rsidR="00071CFB" w:rsidRPr="00D5070D">
        <w:rPr>
          <w:rFonts w:ascii="Times New Roman" w:hAnsi="Times New Roman" w:cs="Times New Roman"/>
          <w:color w:val="auto"/>
        </w:rPr>
        <w:t xml:space="preserve">sửa đổi bổ sung </w:t>
      </w:r>
      <w:r w:rsidR="00071CFB" w:rsidRPr="00D5070D">
        <w:rPr>
          <w:rFonts w:ascii="Times New Roman" w:hAnsi="Times New Roman" w:cs="Times New Roman"/>
          <w:color w:val="auto"/>
          <w:lang w:val="en-US"/>
        </w:rPr>
        <w:t xml:space="preserve">một số điều của </w:t>
      </w:r>
      <w:r w:rsidR="00071CFB" w:rsidRPr="00D5070D">
        <w:rPr>
          <w:rFonts w:ascii="Times New Roman" w:hAnsi="Times New Roman" w:cs="Times New Roman"/>
          <w:color w:val="auto"/>
        </w:rPr>
        <w:t>Nghị định 125/2020/NĐ-CP về xử phạt vi phạm thuế, hóa đơn</w:t>
      </w:r>
      <w:r w:rsidR="00071CFB" w:rsidRPr="00D5070D">
        <w:rPr>
          <w:rFonts w:ascii="Times New Roman" w:hAnsi="Times New Roman" w:cs="Times New Roman"/>
          <w:color w:val="auto"/>
          <w:lang w:val="en-US"/>
        </w:rPr>
        <w:t>, có hiệu lực từ ngày 16/01/2026</w:t>
      </w:r>
    </w:p>
    <w:p w:rsidR="00954BE1" w:rsidRPr="00D5070D" w:rsidRDefault="002802A9" w:rsidP="008630DB">
      <w:pPr>
        <w:pStyle w:val="NormalWeb"/>
        <w:spacing w:before="40" w:beforeAutospacing="0" w:after="0" w:afterAutospacing="0" w:line="264" w:lineRule="auto"/>
        <w:ind w:firstLine="720"/>
        <w:jc w:val="both"/>
        <w:rPr>
          <w:sz w:val="28"/>
          <w:szCs w:val="28"/>
        </w:rPr>
      </w:pPr>
      <w:r w:rsidRPr="00D5070D">
        <w:rPr>
          <w:sz w:val="28"/>
          <w:szCs w:val="28"/>
        </w:rPr>
        <w:t>Một trong những nội dung đáng chú ý tại Nghị định là</w:t>
      </w:r>
      <w:r w:rsidR="003A6251" w:rsidRPr="00D5070D">
        <w:rPr>
          <w:sz w:val="28"/>
          <w:szCs w:val="28"/>
        </w:rPr>
        <w:t xml:space="preserve"> mức phạt từ 50 - 70 triệu đồng áp dụng với hành vi lập hóa đơn không đúng thời điểm khi bán hàng hóa, cung cấp dịch vụ từ 100 số hóa đơn trở lên.</w:t>
      </w:r>
    </w:p>
    <w:p w:rsidR="003A6251" w:rsidRPr="00D5070D" w:rsidRDefault="003A6251" w:rsidP="008630DB">
      <w:pPr>
        <w:pStyle w:val="NormalWeb"/>
        <w:spacing w:before="40" w:beforeAutospacing="0" w:after="0" w:afterAutospacing="0" w:line="264" w:lineRule="auto"/>
        <w:ind w:firstLine="720"/>
        <w:jc w:val="both"/>
        <w:rPr>
          <w:sz w:val="28"/>
          <w:szCs w:val="28"/>
        </w:rPr>
      </w:pPr>
      <w:r w:rsidRPr="00D5070D">
        <w:rPr>
          <w:sz w:val="28"/>
          <w:szCs w:val="28"/>
        </w:rPr>
        <w:t>Lập hóa đơn không đúng thời điểm khi bán hàng hóa, cung cấp dịch vụ từ 50 đến dưới 100 số hóa đơn bị phạt tiền từ 30 - 50 triệu đồng…</w:t>
      </w:r>
    </w:p>
    <w:p w:rsidR="00BF1126" w:rsidRPr="00D5070D" w:rsidRDefault="003A6251" w:rsidP="008630DB">
      <w:pPr>
        <w:pStyle w:val="NormalWeb"/>
        <w:spacing w:before="40" w:beforeAutospacing="0" w:after="0" w:afterAutospacing="0" w:line="264" w:lineRule="auto"/>
        <w:ind w:firstLine="720"/>
        <w:jc w:val="both"/>
        <w:rPr>
          <w:spacing w:val="4"/>
          <w:sz w:val="28"/>
          <w:szCs w:val="28"/>
        </w:rPr>
      </w:pPr>
      <w:r w:rsidRPr="00D5070D">
        <w:rPr>
          <w:spacing w:val="4"/>
          <w:sz w:val="28"/>
          <w:szCs w:val="28"/>
        </w:rPr>
        <w:t>Mức phạt nhẹ nhất cho hành vi lập hóa đơn không đúng thời điểm là cảnh cáo.</w:t>
      </w:r>
    </w:p>
    <w:p w:rsidR="00BF1126" w:rsidRPr="00D5070D" w:rsidRDefault="00941C02" w:rsidP="008630DB">
      <w:pPr>
        <w:pStyle w:val="NormalWeb"/>
        <w:spacing w:before="40" w:beforeAutospacing="0" w:after="0" w:afterAutospacing="0" w:line="264" w:lineRule="auto"/>
        <w:ind w:firstLine="720"/>
        <w:jc w:val="both"/>
        <w:rPr>
          <w:b/>
          <w:sz w:val="28"/>
          <w:szCs w:val="28"/>
        </w:rPr>
      </w:pPr>
      <w:r w:rsidRPr="00D5070D">
        <w:rPr>
          <w:b/>
          <w:sz w:val="28"/>
          <w:szCs w:val="28"/>
        </w:rPr>
        <w:t>16</w:t>
      </w:r>
      <w:r w:rsidR="00BF4D45" w:rsidRPr="00D5070D">
        <w:rPr>
          <w:b/>
          <w:sz w:val="28"/>
          <w:szCs w:val="28"/>
        </w:rPr>
        <w:t>.</w:t>
      </w:r>
      <w:r w:rsidR="00141128" w:rsidRPr="00D5070D">
        <w:rPr>
          <w:b/>
          <w:sz w:val="28"/>
          <w:szCs w:val="28"/>
        </w:rPr>
        <w:t xml:space="preserve"> Nghị định số 292/2025/NĐ-CP ngày 06/11/2025 của Chính phủ quy định chi tiết và hướng dẫn thi hành Nghị quyết 216/2025/QH15 về việc kéo dài thời hạn miễn thuế sử dụng đất nông nghiệp</w:t>
      </w:r>
      <w:r w:rsidR="00BF1126" w:rsidRPr="00D5070D">
        <w:rPr>
          <w:b/>
          <w:sz w:val="28"/>
          <w:szCs w:val="28"/>
        </w:rPr>
        <w:t>, có hiệu lực từ ngày 01/01/2026</w:t>
      </w:r>
    </w:p>
    <w:p w:rsidR="00BF1126" w:rsidRPr="00D5070D" w:rsidRDefault="00BF1126" w:rsidP="008630DB">
      <w:pPr>
        <w:pStyle w:val="NormalWeb"/>
        <w:spacing w:before="40" w:beforeAutospacing="0" w:after="0" w:afterAutospacing="0" w:line="264" w:lineRule="auto"/>
        <w:ind w:firstLine="720"/>
        <w:jc w:val="both"/>
        <w:rPr>
          <w:sz w:val="28"/>
          <w:szCs w:val="28"/>
        </w:rPr>
      </w:pPr>
      <w:r w:rsidRPr="00D5070D">
        <w:rPr>
          <w:sz w:val="28"/>
          <w:szCs w:val="28"/>
        </w:rPr>
        <w:t>Theo đó, thời hạn miễn thuế sử dụng đất nông nghiệp được kéo dài từ ngày 01/01/2026 đến hết ngày 31/12/2030, áp dụng với các loại đất:</w:t>
      </w:r>
    </w:p>
    <w:p w:rsidR="00BF1126" w:rsidRPr="00D5070D" w:rsidRDefault="00C64AB1" w:rsidP="008630DB">
      <w:pPr>
        <w:pStyle w:val="NormalWeb"/>
        <w:spacing w:before="40" w:beforeAutospacing="0" w:after="0" w:afterAutospacing="0" w:line="264" w:lineRule="auto"/>
        <w:ind w:firstLine="720"/>
        <w:jc w:val="both"/>
        <w:rPr>
          <w:sz w:val="28"/>
          <w:szCs w:val="28"/>
        </w:rPr>
      </w:pPr>
      <w:r w:rsidRPr="00D5070D">
        <w:rPr>
          <w:sz w:val="28"/>
          <w:szCs w:val="28"/>
        </w:rPr>
        <w:t xml:space="preserve">- </w:t>
      </w:r>
      <w:r w:rsidR="00BF1126" w:rsidRPr="00D5070D">
        <w:rPr>
          <w:sz w:val="28"/>
          <w:szCs w:val="28"/>
        </w:rPr>
        <w:t>Diện tích đất nông nghiệp phục vụ nghiên cứu, sản xuất thử nghiệm;</w:t>
      </w:r>
    </w:p>
    <w:p w:rsidR="00BF1126" w:rsidRPr="00D5070D" w:rsidRDefault="00C64AB1" w:rsidP="008630DB">
      <w:pPr>
        <w:pStyle w:val="NormalWeb"/>
        <w:spacing w:before="40" w:beforeAutospacing="0" w:after="0" w:afterAutospacing="0" w:line="264" w:lineRule="auto"/>
        <w:ind w:firstLine="720"/>
        <w:jc w:val="both"/>
        <w:rPr>
          <w:sz w:val="28"/>
          <w:szCs w:val="28"/>
        </w:rPr>
      </w:pPr>
      <w:r w:rsidRPr="00D5070D">
        <w:rPr>
          <w:sz w:val="28"/>
          <w:szCs w:val="28"/>
        </w:rPr>
        <w:t xml:space="preserve">- </w:t>
      </w:r>
      <w:r w:rsidR="00BF1126" w:rsidRPr="00D5070D">
        <w:rPr>
          <w:sz w:val="28"/>
          <w:szCs w:val="28"/>
        </w:rPr>
        <w:t>Đất trồng cây hàng năm;</w:t>
      </w:r>
    </w:p>
    <w:p w:rsidR="00BF1126" w:rsidRPr="00D5070D" w:rsidRDefault="00C64AB1" w:rsidP="008630DB">
      <w:pPr>
        <w:pStyle w:val="NormalWeb"/>
        <w:spacing w:before="40" w:beforeAutospacing="0" w:after="0" w:afterAutospacing="0" w:line="264" w:lineRule="auto"/>
        <w:ind w:firstLine="720"/>
        <w:jc w:val="both"/>
        <w:rPr>
          <w:sz w:val="28"/>
          <w:szCs w:val="28"/>
        </w:rPr>
      </w:pPr>
      <w:r w:rsidRPr="00D5070D">
        <w:rPr>
          <w:sz w:val="28"/>
          <w:szCs w:val="28"/>
        </w:rPr>
        <w:t xml:space="preserve">- </w:t>
      </w:r>
      <w:r w:rsidR="00BF1126" w:rsidRPr="00D5070D">
        <w:rPr>
          <w:sz w:val="28"/>
          <w:szCs w:val="28"/>
        </w:rPr>
        <w:t>Đất làm muối; đất nông nghiệp được giao hoặc công nhận quyền sử dụng cho hộ nghèo;</w:t>
      </w:r>
    </w:p>
    <w:p w:rsidR="00BF1126" w:rsidRPr="00D5070D" w:rsidRDefault="00C64AB1" w:rsidP="008630DB">
      <w:pPr>
        <w:pStyle w:val="NormalWeb"/>
        <w:spacing w:before="40" w:beforeAutospacing="0" w:after="0" w:afterAutospacing="0" w:line="264" w:lineRule="auto"/>
        <w:ind w:firstLine="720"/>
        <w:jc w:val="both"/>
        <w:rPr>
          <w:sz w:val="28"/>
          <w:szCs w:val="28"/>
        </w:rPr>
      </w:pPr>
      <w:r w:rsidRPr="00D5070D">
        <w:rPr>
          <w:sz w:val="28"/>
          <w:szCs w:val="28"/>
        </w:rPr>
        <w:t xml:space="preserve">- </w:t>
      </w:r>
      <w:r w:rsidR="00BF1126" w:rsidRPr="00D5070D">
        <w:rPr>
          <w:sz w:val="28"/>
          <w:szCs w:val="28"/>
        </w:rPr>
        <w:t>Hộ gia đình, cá nhân được giao đất để sản xuất nông nghiệp;</w:t>
      </w:r>
    </w:p>
    <w:p w:rsidR="00BF1126" w:rsidRPr="00D5070D" w:rsidRDefault="00C64AB1" w:rsidP="008630DB">
      <w:pPr>
        <w:pStyle w:val="NormalWeb"/>
        <w:spacing w:before="40" w:beforeAutospacing="0" w:after="0" w:afterAutospacing="0" w:line="264" w:lineRule="auto"/>
        <w:ind w:firstLine="720"/>
        <w:jc w:val="both"/>
        <w:rPr>
          <w:sz w:val="28"/>
          <w:szCs w:val="28"/>
        </w:rPr>
      </w:pPr>
      <w:r w:rsidRPr="00D5070D">
        <w:rPr>
          <w:sz w:val="28"/>
          <w:szCs w:val="28"/>
        </w:rPr>
        <w:t xml:space="preserve">- </w:t>
      </w:r>
      <w:r w:rsidR="00BF1126" w:rsidRPr="00D5070D">
        <w:rPr>
          <w:sz w:val="28"/>
          <w:szCs w:val="28"/>
        </w:rPr>
        <w:t>Thành viên hợp tác xã, liên hiệp hợp tác xã sản xuất nông nghiệp;</w:t>
      </w:r>
    </w:p>
    <w:p w:rsidR="003C5F43" w:rsidRPr="00D5070D" w:rsidRDefault="00C64AB1" w:rsidP="008630DB">
      <w:pPr>
        <w:pStyle w:val="NormalWeb"/>
        <w:spacing w:before="40" w:beforeAutospacing="0" w:after="0" w:afterAutospacing="0" w:line="264" w:lineRule="auto"/>
        <w:ind w:firstLine="720"/>
        <w:jc w:val="both"/>
        <w:rPr>
          <w:sz w:val="28"/>
          <w:szCs w:val="28"/>
        </w:rPr>
      </w:pPr>
      <w:r w:rsidRPr="00D5070D">
        <w:rPr>
          <w:sz w:val="28"/>
          <w:szCs w:val="28"/>
        </w:rPr>
        <w:t xml:space="preserve">- </w:t>
      </w:r>
      <w:r w:rsidR="00BF1126" w:rsidRPr="00D5070D">
        <w:rPr>
          <w:sz w:val="28"/>
          <w:szCs w:val="28"/>
        </w:rPr>
        <w:t>Các tổ chức kinh tế, chính trị, xã hội đang trực tiếp sử dụng đất để sản xuất nông nghiệp.</w:t>
      </w:r>
    </w:p>
    <w:p w:rsidR="003C5F43" w:rsidRPr="00D5070D" w:rsidRDefault="00DB2C1F" w:rsidP="008630DB">
      <w:pPr>
        <w:pStyle w:val="NormalWeb"/>
        <w:spacing w:before="40" w:beforeAutospacing="0" w:after="0" w:afterAutospacing="0" w:line="264" w:lineRule="auto"/>
        <w:ind w:firstLine="720"/>
        <w:jc w:val="both"/>
        <w:rPr>
          <w:b/>
          <w:sz w:val="28"/>
          <w:szCs w:val="28"/>
        </w:rPr>
      </w:pPr>
      <w:r w:rsidRPr="00D5070D">
        <w:rPr>
          <w:b/>
          <w:sz w:val="28"/>
          <w:szCs w:val="28"/>
        </w:rPr>
        <w:t>1</w:t>
      </w:r>
      <w:r w:rsidR="00941C02" w:rsidRPr="00D5070D">
        <w:rPr>
          <w:b/>
          <w:sz w:val="28"/>
          <w:szCs w:val="28"/>
        </w:rPr>
        <w:t>7</w:t>
      </w:r>
      <w:r w:rsidRPr="00D5070D">
        <w:rPr>
          <w:b/>
          <w:sz w:val="28"/>
          <w:szCs w:val="28"/>
        </w:rPr>
        <w:t>. Nghị định số 335/2025/NĐ-CP ngày 21/12/2025 của Chính phủ quy định đánh giá, xếp loại chất lượng cơ quan hành chính</w:t>
      </w:r>
      <w:r w:rsidR="0064399B" w:rsidRPr="00D5070D">
        <w:rPr>
          <w:b/>
          <w:sz w:val="28"/>
          <w:szCs w:val="28"/>
        </w:rPr>
        <w:t>, có hiệu lực từ ngày 01/01/2026</w:t>
      </w:r>
    </w:p>
    <w:p w:rsidR="003C5F43" w:rsidRPr="00D5070D" w:rsidRDefault="003C5F43" w:rsidP="008630DB">
      <w:pPr>
        <w:pStyle w:val="NormalWeb"/>
        <w:spacing w:before="40" w:beforeAutospacing="0" w:after="0" w:afterAutospacing="0" w:line="264" w:lineRule="auto"/>
        <w:ind w:firstLine="720"/>
        <w:jc w:val="both"/>
        <w:rPr>
          <w:sz w:val="28"/>
          <w:szCs w:val="28"/>
        </w:rPr>
      </w:pPr>
      <w:r w:rsidRPr="00D5070D">
        <w:rPr>
          <w:sz w:val="28"/>
          <w:szCs w:val="28"/>
        </w:rPr>
        <w:t>Theo đó, tiêu chí đánh giá cơ quan hành chính được chia thành hai nhóm: tiêu chí chung (tối đa 30 điểm) và tiêu chí về kết quả thực hiện nhiệm vụ (tối đa 70 điểm). Các tiêu chí này bao gồm việc chấp hành chính sách của Đảng và Nhà nước, hiệu quả quản lý công chức, cải cách hành chính, và kết quả thực hiện nhiệm vụ cụ thể.</w:t>
      </w:r>
    </w:p>
    <w:p w:rsidR="003C5F43" w:rsidRPr="00D5070D" w:rsidRDefault="003C5F43" w:rsidP="008630DB">
      <w:pPr>
        <w:pStyle w:val="NormalWeb"/>
        <w:spacing w:before="40" w:beforeAutospacing="0" w:after="0" w:afterAutospacing="0" w:line="264" w:lineRule="auto"/>
        <w:ind w:firstLine="720"/>
        <w:jc w:val="both"/>
        <w:rPr>
          <w:sz w:val="28"/>
          <w:szCs w:val="28"/>
        </w:rPr>
      </w:pPr>
      <w:r w:rsidRPr="00D5070D">
        <w:rPr>
          <w:rStyle w:val="Strong"/>
          <w:sz w:val="28"/>
          <w:szCs w:val="28"/>
        </w:rPr>
        <w:t xml:space="preserve">- </w:t>
      </w:r>
      <w:r w:rsidRPr="00D5070D">
        <w:rPr>
          <w:rStyle w:val="Strong"/>
          <w:b w:val="0"/>
          <w:sz w:val="28"/>
          <w:szCs w:val="28"/>
        </w:rPr>
        <w:t>Về xếp loại chất lượng công chức:</w:t>
      </w:r>
      <w:r w:rsidRPr="00D5070D">
        <w:rPr>
          <w:rStyle w:val="Strong"/>
          <w:sz w:val="28"/>
          <w:szCs w:val="28"/>
        </w:rPr>
        <w:t xml:space="preserve"> </w:t>
      </w:r>
      <w:r w:rsidRPr="00D5070D">
        <w:rPr>
          <w:sz w:val="28"/>
          <w:szCs w:val="28"/>
        </w:rPr>
        <w:t>Công chức được xếp loại theo bốn mức: Hoàn thành xuất sắc nhiệm vụ, Hoàn thành tốt nhiệm vụ, Hoàn thành nhiệm vụ, và Không hoàn thành nhiệm vụ.</w:t>
      </w:r>
    </w:p>
    <w:p w:rsidR="003C5F43" w:rsidRPr="00D5070D" w:rsidRDefault="003C5F43" w:rsidP="008630DB">
      <w:pPr>
        <w:pStyle w:val="NormalWeb"/>
        <w:spacing w:before="40" w:beforeAutospacing="0" w:after="0" w:afterAutospacing="0" w:line="264" w:lineRule="auto"/>
        <w:ind w:firstLine="720"/>
        <w:jc w:val="both"/>
        <w:rPr>
          <w:spacing w:val="-4"/>
          <w:sz w:val="28"/>
          <w:szCs w:val="28"/>
        </w:rPr>
      </w:pPr>
      <w:r w:rsidRPr="00D5070D">
        <w:rPr>
          <w:spacing w:val="-4"/>
          <w:sz w:val="28"/>
          <w:szCs w:val="28"/>
        </w:rPr>
        <w:t>Việc xếp loại dựa trên tổng điểm từ tiêu chí chung và tiêu chí kết quả thực hiện nhiệm vụ. Tỷ lệ công chức được xếp loại "Hoàn thành xuất sắc nhiệm vụ" không vượt quá 20% tổng số công chức được xếp loại "Hoàn thành tốt nhiệm vụ".</w:t>
      </w:r>
    </w:p>
    <w:p w:rsidR="003C5F43" w:rsidRPr="00D5070D" w:rsidRDefault="003C5F43" w:rsidP="008630DB">
      <w:pPr>
        <w:pStyle w:val="NormalWeb"/>
        <w:spacing w:before="40" w:beforeAutospacing="0" w:after="0" w:afterAutospacing="0" w:line="264" w:lineRule="auto"/>
        <w:ind w:firstLine="720"/>
        <w:jc w:val="both"/>
        <w:rPr>
          <w:sz w:val="28"/>
          <w:szCs w:val="28"/>
        </w:rPr>
      </w:pPr>
      <w:r w:rsidRPr="00D5070D">
        <w:rPr>
          <w:rStyle w:val="Strong"/>
          <w:b w:val="0"/>
          <w:sz w:val="28"/>
          <w:szCs w:val="28"/>
        </w:rPr>
        <w:lastRenderedPageBreak/>
        <w:t>- Về trình tự và thủ tục đánh giá: q</w:t>
      </w:r>
      <w:r w:rsidRPr="00D5070D">
        <w:rPr>
          <w:sz w:val="28"/>
          <w:szCs w:val="28"/>
        </w:rPr>
        <w:t>uá trình đánh giá và xếp loại được thực hiện hàng năm, với thời điểm đánh giá trước ngày 15/12. Công chức tự đánh giá và đề xuất mức xếp loại, sau đó được cấp có thẩm quyền xem xét và quyết định. Kết quả đánh giá được thông báo công khai và có thể được điều chỉnh nếu phát hiện sai sót.</w:t>
      </w:r>
    </w:p>
    <w:p w:rsidR="003C5F43" w:rsidRPr="00D5070D" w:rsidRDefault="003C5F43" w:rsidP="008630DB">
      <w:pPr>
        <w:pStyle w:val="NormalWeb"/>
        <w:spacing w:before="40" w:beforeAutospacing="0" w:after="0" w:afterAutospacing="0" w:line="264" w:lineRule="auto"/>
        <w:ind w:firstLine="720"/>
        <w:jc w:val="both"/>
        <w:rPr>
          <w:sz w:val="28"/>
          <w:szCs w:val="28"/>
        </w:rPr>
      </w:pPr>
      <w:r w:rsidRPr="00D5070D">
        <w:rPr>
          <w:rStyle w:val="Strong"/>
          <w:b w:val="0"/>
          <w:sz w:val="28"/>
          <w:szCs w:val="28"/>
        </w:rPr>
        <w:t>- Sử dụng kết quả đánh giá:</w:t>
      </w:r>
      <w:r w:rsidRPr="00D5070D">
        <w:rPr>
          <w:rStyle w:val="Strong"/>
          <w:sz w:val="28"/>
          <w:szCs w:val="28"/>
        </w:rPr>
        <w:t xml:space="preserve"> </w:t>
      </w:r>
      <w:r w:rsidRPr="00D5070D">
        <w:rPr>
          <w:rStyle w:val="Strong"/>
          <w:b w:val="0"/>
          <w:sz w:val="28"/>
          <w:szCs w:val="28"/>
        </w:rPr>
        <w:t>k</w:t>
      </w:r>
      <w:r w:rsidRPr="00D5070D">
        <w:rPr>
          <w:sz w:val="28"/>
          <w:szCs w:val="28"/>
        </w:rPr>
        <w:t>ết quả đánh giá được sử dụng để làm căn cứ cho nhiều hoạt động quản lý nhân sự như bố trí, sử dụng, đào tạo, khen thưởng, kỷ luật và xác định thu nhập tăng thêm cho công chức.</w:t>
      </w:r>
    </w:p>
    <w:p w:rsidR="005B1BC1" w:rsidRPr="00D5070D" w:rsidRDefault="005B1BC1" w:rsidP="008630DB">
      <w:pPr>
        <w:pStyle w:val="Heading4"/>
        <w:shd w:val="clear" w:color="auto" w:fill="FFFFFF"/>
        <w:spacing w:before="40" w:line="264" w:lineRule="auto"/>
        <w:ind w:firstLine="720"/>
        <w:jc w:val="both"/>
        <w:rPr>
          <w:rFonts w:ascii="Times New Roman" w:hAnsi="Times New Roman" w:cs="Times New Roman"/>
          <w:i w:val="0"/>
          <w:color w:val="auto"/>
          <w:sz w:val="28"/>
          <w:szCs w:val="28"/>
          <w:lang w:val="en-US"/>
        </w:rPr>
      </w:pPr>
      <w:r w:rsidRPr="00D5070D">
        <w:rPr>
          <w:rFonts w:ascii="Times New Roman" w:hAnsi="Times New Roman" w:cs="Times New Roman"/>
          <w:i w:val="0"/>
          <w:color w:val="auto"/>
          <w:sz w:val="28"/>
          <w:szCs w:val="28"/>
        </w:rPr>
        <w:t>1</w:t>
      </w:r>
      <w:r w:rsidR="00941C02" w:rsidRPr="00D5070D">
        <w:rPr>
          <w:rFonts w:ascii="Times New Roman" w:hAnsi="Times New Roman" w:cs="Times New Roman"/>
          <w:i w:val="0"/>
          <w:color w:val="auto"/>
          <w:sz w:val="28"/>
          <w:szCs w:val="28"/>
          <w:lang w:val="en-GB"/>
        </w:rPr>
        <w:t>8</w:t>
      </w:r>
      <w:r w:rsidRPr="00D5070D">
        <w:rPr>
          <w:rFonts w:ascii="Times New Roman" w:hAnsi="Times New Roman" w:cs="Times New Roman"/>
          <w:i w:val="0"/>
          <w:color w:val="auto"/>
          <w:sz w:val="28"/>
          <w:szCs w:val="28"/>
        </w:rPr>
        <w:t xml:space="preserve">. Nghị định số 296/2025/NĐ-CP </w:t>
      </w:r>
      <w:r w:rsidRPr="00D5070D">
        <w:rPr>
          <w:rFonts w:ascii="Times New Roman" w:hAnsi="Times New Roman" w:cs="Times New Roman"/>
          <w:i w:val="0"/>
          <w:color w:val="auto"/>
          <w:sz w:val="28"/>
          <w:szCs w:val="28"/>
          <w:lang w:val="en-US"/>
        </w:rPr>
        <w:t xml:space="preserve">ngày 16/11/2025 </w:t>
      </w:r>
      <w:r w:rsidRPr="00D5070D">
        <w:rPr>
          <w:rFonts w:ascii="Times New Roman" w:hAnsi="Times New Roman" w:cs="Times New Roman"/>
          <w:i w:val="0"/>
          <w:color w:val="auto"/>
          <w:sz w:val="28"/>
          <w:szCs w:val="28"/>
        </w:rPr>
        <w:t>của Chính phủ</w:t>
      </w:r>
      <w:r w:rsidRPr="00D5070D">
        <w:rPr>
          <w:rFonts w:ascii="Times New Roman" w:hAnsi="Times New Roman" w:cs="Times New Roman"/>
          <w:i w:val="0"/>
          <w:color w:val="auto"/>
          <w:sz w:val="28"/>
          <w:szCs w:val="28"/>
          <w:lang w:val="en-US"/>
        </w:rPr>
        <w:t xml:space="preserve"> q</w:t>
      </w:r>
      <w:r w:rsidRPr="00D5070D">
        <w:rPr>
          <w:rFonts w:ascii="Times New Roman" w:hAnsi="Times New Roman" w:cs="Times New Roman"/>
          <w:i w:val="0"/>
          <w:color w:val="auto"/>
          <w:sz w:val="28"/>
          <w:szCs w:val="28"/>
        </w:rPr>
        <w:t>uy định về cưỡng chế thi hành quyết định xử phạt vi phạm hành chính</w:t>
      </w:r>
      <w:r w:rsidRPr="00D5070D">
        <w:rPr>
          <w:rFonts w:ascii="Times New Roman" w:hAnsi="Times New Roman" w:cs="Times New Roman"/>
          <w:i w:val="0"/>
          <w:color w:val="auto"/>
          <w:sz w:val="28"/>
          <w:szCs w:val="28"/>
          <w:lang w:val="en-US"/>
        </w:rPr>
        <w:t>, có hiệu lực từ ngày 01/01/2026</w:t>
      </w:r>
    </w:p>
    <w:p w:rsidR="005B1BC1" w:rsidRPr="00D5070D" w:rsidRDefault="005B1BC1"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rPr>
        <w:t>Nghị định quy định cụ thể nguyên tắc áp dụng các biện pháp cưỡng chế. Theo đó, việc cưỡng chế chỉ được thực hiện khi có quyết định cưỡng chế bằng văn bản của người có thẩm quyền quy định tại Điều 87 Luật Xử lý vi phạm hành chính và Nghị định quy định chi tiết Luật Xử lý vi phạm hành chính về thẩm quyền xử phạt vi phạm hành chính và các Nghị định quy định về xử phạt vi phạm hành chính trong các lĩnh vực quản lý nhà nước. Người có thẩm quyền ra quyết định cưỡng chế có trách nhiệm ban hành quyết định cưỡng chế trên cơ sở theo dõi, đôn đốc hoặc đề xuất của người có thẩm quyền xử phạt</w:t>
      </w:r>
    </w:p>
    <w:p w:rsidR="003A6251" w:rsidRPr="00D5070D" w:rsidRDefault="005B1BC1" w:rsidP="008630DB">
      <w:pPr>
        <w:spacing w:before="40" w:after="0" w:line="264" w:lineRule="auto"/>
        <w:ind w:firstLine="720"/>
        <w:jc w:val="both"/>
        <w:rPr>
          <w:rFonts w:ascii="Times New Roman" w:hAnsi="Times New Roman" w:cs="Times New Roman"/>
          <w:sz w:val="28"/>
          <w:szCs w:val="28"/>
          <w:lang w:val="en-US"/>
        </w:rPr>
      </w:pPr>
      <w:r w:rsidRPr="00D5070D">
        <w:rPr>
          <w:rFonts w:ascii="Times New Roman" w:hAnsi="Times New Roman" w:cs="Times New Roman"/>
          <w:sz w:val="28"/>
          <w:szCs w:val="28"/>
        </w:rPr>
        <w:t>Người có thẩm quyền ra quyết định cưỡng chế quyết định áp dụng một hoặc nhiều biện pháp cưỡng chế quy định tại khoản 2 Điều 86 Luật Xử lý vi phạm hành chính nếu việc áp dụng một biện pháp cưỡng chế không đủ để bảo đảm thi hành quyết định cưỡng chế. Việc quyết định áp dụng biện pháp cưỡng chế cụ thể phải căn cứ vào nội dung, tính chất, mức độ, điều kiện thi hành quyết định cưỡng chế và tình hình thực tế ở địa phương, đồng thời đảm bảo quyền và lợi ích hợp pháp của cá nhân, tổ chức bị áp dụng biện pháp cưỡng chế và cá nhân, tổ chức khác có liên quan trong cưỡng chế thi hành quyết định xử phạt vi phạm hành chính, quyết định áp dụng biện pháp khắc phục hậu</w:t>
      </w:r>
      <w:r w:rsidRPr="00D5070D">
        <w:rPr>
          <w:rFonts w:ascii="Times New Roman" w:hAnsi="Times New Roman" w:cs="Times New Roman"/>
          <w:sz w:val="28"/>
          <w:szCs w:val="28"/>
          <w:lang w:val="en-US"/>
        </w:rPr>
        <w:t xml:space="preserve"> quả.</w:t>
      </w:r>
    </w:p>
    <w:p w:rsidR="00F65695" w:rsidRPr="00D5070D" w:rsidRDefault="008A15BD" w:rsidP="008630DB">
      <w:pPr>
        <w:spacing w:before="40" w:after="0" w:line="264" w:lineRule="auto"/>
        <w:ind w:firstLine="720"/>
        <w:jc w:val="both"/>
        <w:rPr>
          <w:rFonts w:ascii="Times New Roman" w:hAnsi="Times New Roman" w:cs="Times New Roman"/>
          <w:sz w:val="28"/>
          <w:szCs w:val="28"/>
        </w:rPr>
      </w:pPr>
      <w:r w:rsidRPr="00D5070D">
        <w:rPr>
          <w:rFonts w:ascii="Times New Roman" w:hAnsi="Times New Roman" w:cs="Times New Roman"/>
          <w:sz w:val="28"/>
          <w:szCs w:val="28"/>
        </w:rPr>
        <w:t>Trên đây là một số văn bản pháp luật có hiệu lự</w:t>
      </w:r>
      <w:r w:rsidR="005705EA" w:rsidRPr="00D5070D">
        <w:rPr>
          <w:rFonts w:ascii="Times New Roman" w:hAnsi="Times New Roman" w:cs="Times New Roman"/>
          <w:sz w:val="28"/>
          <w:szCs w:val="28"/>
        </w:rPr>
        <w:t xml:space="preserve">c trong tháng </w:t>
      </w:r>
      <w:r w:rsidR="005705EA" w:rsidRPr="00D5070D">
        <w:rPr>
          <w:rFonts w:ascii="Times New Roman" w:hAnsi="Times New Roman" w:cs="Times New Roman"/>
          <w:sz w:val="28"/>
          <w:szCs w:val="28"/>
          <w:lang w:val="en-US"/>
        </w:rPr>
        <w:t>01</w:t>
      </w:r>
      <w:r w:rsidRPr="00D5070D">
        <w:rPr>
          <w:rFonts w:ascii="Times New Roman" w:hAnsi="Times New Roman" w:cs="Times New Roman"/>
          <w:sz w:val="28"/>
          <w:szCs w:val="28"/>
        </w:rPr>
        <w:t>/202</w:t>
      </w:r>
      <w:r w:rsidR="005705EA" w:rsidRPr="00D5070D">
        <w:rPr>
          <w:rFonts w:ascii="Times New Roman" w:hAnsi="Times New Roman" w:cs="Times New Roman"/>
          <w:sz w:val="28"/>
          <w:szCs w:val="28"/>
          <w:lang w:val="en-US"/>
        </w:rPr>
        <w:t>6</w:t>
      </w:r>
      <w:r w:rsidRPr="00D5070D">
        <w:rPr>
          <w:rFonts w:ascii="Times New Roman" w:hAnsi="Times New Roman" w:cs="Times New Roman"/>
          <w:sz w:val="28"/>
          <w:szCs w:val="28"/>
        </w:rPr>
        <w:t>, Ủy ban nhân dân phường tổng hợp, cung cấp thông tin đến các cơ quan, đơn vị có liên quan căn cứ thực hiện./.</w:t>
      </w:r>
    </w:p>
    <w:p w:rsidR="00F65695" w:rsidRDefault="008A15BD">
      <w:pPr>
        <w:spacing w:before="120" w:after="0" w:line="274" w:lineRule="auto"/>
        <w:jc w:val="both"/>
        <w:rPr>
          <w:rFonts w:ascii="Times New Roman" w:hAnsi="Times New Roman" w:cs="Times New Roman"/>
          <w:b/>
          <w:sz w:val="28"/>
          <w:szCs w:val="28"/>
        </w:rPr>
      </w:pPr>
      <w:r w:rsidRPr="00D5070D">
        <w:rPr>
          <w:rFonts w:ascii="Times New Roman" w:hAnsi="Times New Roman" w:cs="Times New Roman"/>
          <w:sz w:val="28"/>
          <w:szCs w:val="28"/>
          <w:lang w:val="en-US"/>
        </w:rPr>
        <w:tab/>
      </w:r>
      <w:r w:rsidRPr="00D5070D">
        <w:rPr>
          <w:rFonts w:ascii="Times New Roman" w:hAnsi="Times New Roman" w:cs="Times New Roman"/>
          <w:sz w:val="28"/>
          <w:szCs w:val="28"/>
          <w:lang w:val="en-US"/>
        </w:rPr>
        <w:tab/>
      </w:r>
      <w:r w:rsidRPr="00D5070D">
        <w:rPr>
          <w:rFonts w:ascii="Times New Roman" w:hAnsi="Times New Roman" w:cs="Times New Roman"/>
          <w:sz w:val="28"/>
          <w:szCs w:val="28"/>
          <w:lang w:val="en-US"/>
        </w:rPr>
        <w:tab/>
      </w:r>
      <w:r w:rsidRPr="00D5070D">
        <w:rPr>
          <w:rFonts w:ascii="Times New Roman" w:hAnsi="Times New Roman" w:cs="Times New Roman"/>
          <w:sz w:val="28"/>
          <w:szCs w:val="28"/>
          <w:lang w:val="en-US"/>
        </w:rPr>
        <w:tab/>
      </w:r>
      <w:r w:rsidRPr="00D5070D">
        <w:rPr>
          <w:rFonts w:ascii="Times New Roman" w:hAnsi="Times New Roman" w:cs="Times New Roman"/>
          <w:sz w:val="28"/>
          <w:szCs w:val="28"/>
          <w:lang w:val="en-US"/>
        </w:rPr>
        <w:tab/>
      </w:r>
      <w:r>
        <w:rPr>
          <w:rFonts w:ascii="Times New Roman" w:hAnsi="Times New Roman" w:cs="Times New Roman"/>
          <w:sz w:val="28"/>
          <w:szCs w:val="28"/>
        </w:rPr>
        <w:tab/>
      </w:r>
      <w:r>
        <w:rPr>
          <w:rFonts w:ascii="Times New Roman" w:hAnsi="Times New Roman" w:cs="Times New Roman"/>
          <w:b/>
          <w:sz w:val="28"/>
          <w:szCs w:val="28"/>
        </w:rPr>
        <w:t>ỦY BAN NHÂN DÂN PHƯỜNG</w:t>
      </w:r>
    </w:p>
    <w:p w:rsidR="00F65695" w:rsidRDefault="00F65695">
      <w:pPr>
        <w:spacing w:before="40" w:after="0" w:line="269" w:lineRule="auto"/>
        <w:rPr>
          <w:rFonts w:ascii="Times New Roman" w:hAnsi="Times New Roman" w:cs="Times New Roman"/>
          <w:sz w:val="28"/>
          <w:szCs w:val="28"/>
        </w:rPr>
      </w:pPr>
    </w:p>
    <w:sectPr w:rsidR="00F65695">
      <w:headerReference w:type="default" r:id="rId12"/>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8C" w:rsidRDefault="000C5D8C">
      <w:pPr>
        <w:spacing w:line="240" w:lineRule="auto"/>
      </w:pPr>
      <w:r>
        <w:separator/>
      </w:r>
    </w:p>
  </w:endnote>
  <w:endnote w:type="continuationSeparator" w:id="0">
    <w:p w:rsidR="000C5D8C" w:rsidRDefault="000C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8C" w:rsidRDefault="000C5D8C">
      <w:pPr>
        <w:spacing w:after="0"/>
      </w:pPr>
      <w:r>
        <w:separator/>
      </w:r>
    </w:p>
  </w:footnote>
  <w:footnote w:type="continuationSeparator" w:id="0">
    <w:p w:rsidR="000C5D8C" w:rsidRDefault="000C5D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790962"/>
      <w:docPartObj>
        <w:docPartGallery w:val="Page Numbers (Top of Page)"/>
        <w:docPartUnique/>
      </w:docPartObj>
    </w:sdtPr>
    <w:sdtEndPr>
      <w:rPr>
        <w:rFonts w:ascii="Times New Roman" w:hAnsi="Times New Roman" w:cs="Times New Roman"/>
        <w:noProof/>
        <w:sz w:val="24"/>
        <w:szCs w:val="24"/>
      </w:rPr>
    </w:sdtEndPr>
    <w:sdtContent>
      <w:p w:rsidR="00993548" w:rsidRPr="00993548" w:rsidRDefault="00993548" w:rsidP="00993548">
        <w:pPr>
          <w:pStyle w:val="Header"/>
          <w:jc w:val="center"/>
          <w:rPr>
            <w:rFonts w:ascii="Times New Roman" w:hAnsi="Times New Roman" w:cs="Times New Roman"/>
            <w:sz w:val="24"/>
            <w:szCs w:val="24"/>
          </w:rPr>
        </w:pPr>
        <w:r w:rsidRPr="00993548">
          <w:rPr>
            <w:rFonts w:ascii="Times New Roman" w:hAnsi="Times New Roman" w:cs="Times New Roman"/>
            <w:sz w:val="24"/>
            <w:szCs w:val="24"/>
          </w:rPr>
          <w:fldChar w:fldCharType="begin"/>
        </w:r>
        <w:r w:rsidRPr="00993548">
          <w:rPr>
            <w:rFonts w:ascii="Times New Roman" w:hAnsi="Times New Roman" w:cs="Times New Roman"/>
            <w:sz w:val="24"/>
            <w:szCs w:val="24"/>
          </w:rPr>
          <w:instrText xml:space="preserve"> PAGE   \* MERGEFORMAT </w:instrText>
        </w:r>
        <w:r w:rsidRPr="00993548">
          <w:rPr>
            <w:rFonts w:ascii="Times New Roman" w:hAnsi="Times New Roman" w:cs="Times New Roman"/>
            <w:sz w:val="24"/>
            <w:szCs w:val="24"/>
          </w:rPr>
          <w:fldChar w:fldCharType="separate"/>
        </w:r>
        <w:r w:rsidR="009444A2">
          <w:rPr>
            <w:rFonts w:ascii="Times New Roman" w:hAnsi="Times New Roman" w:cs="Times New Roman"/>
            <w:noProof/>
            <w:sz w:val="24"/>
            <w:szCs w:val="24"/>
          </w:rPr>
          <w:t>6</w:t>
        </w:r>
        <w:r w:rsidRPr="00993548">
          <w:rPr>
            <w:rFonts w:ascii="Times New Roman" w:hAnsi="Times New Roman" w:cs="Times New Roman"/>
            <w:noProof/>
            <w:sz w:val="24"/>
            <w:szCs w:val="24"/>
          </w:rPr>
          <w:fldChar w:fldCharType="end"/>
        </w:r>
      </w:p>
    </w:sdtContent>
  </w:sdt>
  <w:p w:rsidR="00993548" w:rsidRDefault="00993548" w:rsidP="0021738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E2DB0"/>
    <w:multiLevelType w:val="singleLevel"/>
    <w:tmpl w:val="BD0E2DB0"/>
    <w:lvl w:ilvl="0">
      <w:start w:val="1"/>
      <w:numFmt w:val="decimal"/>
      <w:suff w:val="space"/>
      <w:lvlText w:val="(%1)"/>
      <w:lvlJc w:val="left"/>
    </w:lvl>
  </w:abstractNum>
  <w:abstractNum w:abstractNumId="1">
    <w:nsid w:val="07D94B14"/>
    <w:multiLevelType w:val="singleLevel"/>
    <w:tmpl w:val="07D94B14"/>
    <w:lvl w:ilvl="0">
      <w:start w:val="1"/>
      <w:numFmt w:val="decimal"/>
      <w:suff w:val="space"/>
      <w:lvlText w:val="(%1)"/>
      <w:lvlJc w:val="left"/>
    </w:lvl>
  </w:abstractNum>
  <w:abstractNum w:abstractNumId="2">
    <w:nsid w:val="08085BA3"/>
    <w:multiLevelType w:val="multilevel"/>
    <w:tmpl w:val="8738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C3077"/>
    <w:multiLevelType w:val="multilevel"/>
    <w:tmpl w:val="EE76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B07D2"/>
    <w:multiLevelType w:val="multilevel"/>
    <w:tmpl w:val="7B0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238F3"/>
    <w:multiLevelType w:val="multilevel"/>
    <w:tmpl w:val="F464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4BAFC1"/>
    <w:multiLevelType w:val="singleLevel"/>
    <w:tmpl w:val="5F4BAFC1"/>
    <w:lvl w:ilvl="0">
      <w:start w:val="4"/>
      <w:numFmt w:val="decimal"/>
      <w:suff w:val="space"/>
      <w:lvlText w:val="%1."/>
      <w:lvlJc w:val="left"/>
    </w:lvl>
  </w:abstractNum>
  <w:abstractNum w:abstractNumId="7">
    <w:nsid w:val="73D4A873"/>
    <w:multiLevelType w:val="singleLevel"/>
    <w:tmpl w:val="73D4A873"/>
    <w:lvl w:ilvl="0">
      <w:start w:val="1"/>
      <w:numFmt w:val="decimal"/>
      <w:suff w:val="space"/>
      <w:lvlText w:val="%1."/>
      <w:lvlJc w:val="left"/>
    </w:lvl>
  </w:abstractNum>
  <w:num w:numId="1">
    <w:abstractNumId w:val="7"/>
  </w:num>
  <w:num w:numId="2">
    <w:abstractNumId w:val="6"/>
  </w:num>
  <w:num w:numId="3">
    <w:abstractNumId w:val="0"/>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3E"/>
    <w:rsid w:val="000037B1"/>
    <w:rsid w:val="00023D23"/>
    <w:rsid w:val="00036FD2"/>
    <w:rsid w:val="00044D4D"/>
    <w:rsid w:val="00045D4C"/>
    <w:rsid w:val="000543A1"/>
    <w:rsid w:val="0006455C"/>
    <w:rsid w:val="00064F09"/>
    <w:rsid w:val="00066E0E"/>
    <w:rsid w:val="0007152D"/>
    <w:rsid w:val="00071CFB"/>
    <w:rsid w:val="000739DC"/>
    <w:rsid w:val="000806F7"/>
    <w:rsid w:val="000848D0"/>
    <w:rsid w:val="00087869"/>
    <w:rsid w:val="000906F1"/>
    <w:rsid w:val="00093AB7"/>
    <w:rsid w:val="0009637B"/>
    <w:rsid w:val="000A152F"/>
    <w:rsid w:val="000C0C37"/>
    <w:rsid w:val="000C3B70"/>
    <w:rsid w:val="000C4BE9"/>
    <w:rsid w:val="000C5D8C"/>
    <w:rsid w:val="000C62C8"/>
    <w:rsid w:val="000E4F9B"/>
    <w:rsid w:val="000F630F"/>
    <w:rsid w:val="00102564"/>
    <w:rsid w:val="00112B0A"/>
    <w:rsid w:val="0011510F"/>
    <w:rsid w:val="00115402"/>
    <w:rsid w:val="0011778D"/>
    <w:rsid w:val="00121374"/>
    <w:rsid w:val="001247B6"/>
    <w:rsid w:val="0012566E"/>
    <w:rsid w:val="0013234D"/>
    <w:rsid w:val="0014061D"/>
    <w:rsid w:val="00141128"/>
    <w:rsid w:val="00143C0D"/>
    <w:rsid w:val="00145E3E"/>
    <w:rsid w:val="00155401"/>
    <w:rsid w:val="00160B31"/>
    <w:rsid w:val="00162829"/>
    <w:rsid w:val="00175F89"/>
    <w:rsid w:val="00184E46"/>
    <w:rsid w:val="001900A8"/>
    <w:rsid w:val="00195DB9"/>
    <w:rsid w:val="00196952"/>
    <w:rsid w:val="001A185B"/>
    <w:rsid w:val="001A70AF"/>
    <w:rsid w:val="001A7813"/>
    <w:rsid w:val="001B33DA"/>
    <w:rsid w:val="001C4A03"/>
    <w:rsid w:val="001D0123"/>
    <w:rsid w:val="001D1BA1"/>
    <w:rsid w:val="001E0DD6"/>
    <w:rsid w:val="001E4B21"/>
    <w:rsid w:val="001E6A69"/>
    <w:rsid w:val="001F3C91"/>
    <w:rsid w:val="001F4BD3"/>
    <w:rsid w:val="00210901"/>
    <w:rsid w:val="0021334E"/>
    <w:rsid w:val="00213AC6"/>
    <w:rsid w:val="00217383"/>
    <w:rsid w:val="00230149"/>
    <w:rsid w:val="0023397A"/>
    <w:rsid w:val="00237F39"/>
    <w:rsid w:val="0024267A"/>
    <w:rsid w:val="002440AA"/>
    <w:rsid w:val="00250A22"/>
    <w:rsid w:val="0026697E"/>
    <w:rsid w:val="0027679F"/>
    <w:rsid w:val="002802A9"/>
    <w:rsid w:val="00284EE3"/>
    <w:rsid w:val="002A0253"/>
    <w:rsid w:val="002A413E"/>
    <w:rsid w:val="002B0CEC"/>
    <w:rsid w:val="002B3C82"/>
    <w:rsid w:val="002C073A"/>
    <w:rsid w:val="002C1868"/>
    <w:rsid w:val="002C5899"/>
    <w:rsid w:val="002C7BDA"/>
    <w:rsid w:val="002D6EFE"/>
    <w:rsid w:val="002E70F5"/>
    <w:rsid w:val="002F3A36"/>
    <w:rsid w:val="00315297"/>
    <w:rsid w:val="00315C76"/>
    <w:rsid w:val="00333145"/>
    <w:rsid w:val="0033514C"/>
    <w:rsid w:val="00337759"/>
    <w:rsid w:val="00345C7E"/>
    <w:rsid w:val="00347549"/>
    <w:rsid w:val="003509EE"/>
    <w:rsid w:val="003565E3"/>
    <w:rsid w:val="0036377F"/>
    <w:rsid w:val="00366561"/>
    <w:rsid w:val="00373D78"/>
    <w:rsid w:val="003814C6"/>
    <w:rsid w:val="003A6251"/>
    <w:rsid w:val="003B74A2"/>
    <w:rsid w:val="003C1D08"/>
    <w:rsid w:val="003C5F43"/>
    <w:rsid w:val="003E27E2"/>
    <w:rsid w:val="003E7957"/>
    <w:rsid w:val="003F51C2"/>
    <w:rsid w:val="004101B2"/>
    <w:rsid w:val="00424D83"/>
    <w:rsid w:val="00431D0D"/>
    <w:rsid w:val="00437437"/>
    <w:rsid w:val="004514CD"/>
    <w:rsid w:val="0045253D"/>
    <w:rsid w:val="004538D8"/>
    <w:rsid w:val="00460397"/>
    <w:rsid w:val="00471ECC"/>
    <w:rsid w:val="00481D7B"/>
    <w:rsid w:val="0048522A"/>
    <w:rsid w:val="004A105F"/>
    <w:rsid w:val="004B450C"/>
    <w:rsid w:val="004C4CB1"/>
    <w:rsid w:val="004C5830"/>
    <w:rsid w:val="004C690C"/>
    <w:rsid w:val="004E6685"/>
    <w:rsid w:val="004F412A"/>
    <w:rsid w:val="004F6FA6"/>
    <w:rsid w:val="005006EA"/>
    <w:rsid w:val="00501D86"/>
    <w:rsid w:val="0050680A"/>
    <w:rsid w:val="00507AA8"/>
    <w:rsid w:val="00511958"/>
    <w:rsid w:val="00522802"/>
    <w:rsid w:val="00533B22"/>
    <w:rsid w:val="0053579A"/>
    <w:rsid w:val="00536BF0"/>
    <w:rsid w:val="005538A3"/>
    <w:rsid w:val="005547FC"/>
    <w:rsid w:val="0056171D"/>
    <w:rsid w:val="005627E4"/>
    <w:rsid w:val="00564D4B"/>
    <w:rsid w:val="005705EA"/>
    <w:rsid w:val="00574A2D"/>
    <w:rsid w:val="005758FE"/>
    <w:rsid w:val="005A11F0"/>
    <w:rsid w:val="005B180E"/>
    <w:rsid w:val="005B1BC1"/>
    <w:rsid w:val="005E137F"/>
    <w:rsid w:val="005E1902"/>
    <w:rsid w:val="005E276B"/>
    <w:rsid w:val="00602BBA"/>
    <w:rsid w:val="00611339"/>
    <w:rsid w:val="0061414C"/>
    <w:rsid w:val="00617D5D"/>
    <w:rsid w:val="006411BF"/>
    <w:rsid w:val="0064399B"/>
    <w:rsid w:val="00656893"/>
    <w:rsid w:val="0065790C"/>
    <w:rsid w:val="00663F5F"/>
    <w:rsid w:val="006678A7"/>
    <w:rsid w:val="00676893"/>
    <w:rsid w:val="0068056E"/>
    <w:rsid w:val="006809CF"/>
    <w:rsid w:val="00682E59"/>
    <w:rsid w:val="006839A7"/>
    <w:rsid w:val="00685A0F"/>
    <w:rsid w:val="00687CCF"/>
    <w:rsid w:val="006916D0"/>
    <w:rsid w:val="006938DE"/>
    <w:rsid w:val="0069562C"/>
    <w:rsid w:val="006A4033"/>
    <w:rsid w:val="006A44F7"/>
    <w:rsid w:val="006A6C57"/>
    <w:rsid w:val="006A71BA"/>
    <w:rsid w:val="006B19C3"/>
    <w:rsid w:val="006B5789"/>
    <w:rsid w:val="006D230B"/>
    <w:rsid w:val="006D5790"/>
    <w:rsid w:val="006E178D"/>
    <w:rsid w:val="006F462C"/>
    <w:rsid w:val="006F7069"/>
    <w:rsid w:val="00700709"/>
    <w:rsid w:val="007009BD"/>
    <w:rsid w:val="00700B2A"/>
    <w:rsid w:val="007018B1"/>
    <w:rsid w:val="007056E6"/>
    <w:rsid w:val="007079B0"/>
    <w:rsid w:val="00716910"/>
    <w:rsid w:val="007225DE"/>
    <w:rsid w:val="00726054"/>
    <w:rsid w:val="007277F3"/>
    <w:rsid w:val="00731262"/>
    <w:rsid w:val="00740520"/>
    <w:rsid w:val="00741605"/>
    <w:rsid w:val="00742ED4"/>
    <w:rsid w:val="0074348A"/>
    <w:rsid w:val="00751D9C"/>
    <w:rsid w:val="007528AE"/>
    <w:rsid w:val="00753C06"/>
    <w:rsid w:val="0076043B"/>
    <w:rsid w:val="007673A7"/>
    <w:rsid w:val="007730FA"/>
    <w:rsid w:val="00775807"/>
    <w:rsid w:val="00783F72"/>
    <w:rsid w:val="0078636C"/>
    <w:rsid w:val="00786861"/>
    <w:rsid w:val="00794912"/>
    <w:rsid w:val="007A2AA3"/>
    <w:rsid w:val="007B505E"/>
    <w:rsid w:val="007C17BA"/>
    <w:rsid w:val="007D25E1"/>
    <w:rsid w:val="007D279D"/>
    <w:rsid w:val="007E621A"/>
    <w:rsid w:val="007F004B"/>
    <w:rsid w:val="007F76A8"/>
    <w:rsid w:val="00812CAE"/>
    <w:rsid w:val="00815E3B"/>
    <w:rsid w:val="00820CE3"/>
    <w:rsid w:val="0082388D"/>
    <w:rsid w:val="00833EF1"/>
    <w:rsid w:val="00835FCA"/>
    <w:rsid w:val="00847C6B"/>
    <w:rsid w:val="00852164"/>
    <w:rsid w:val="0085697B"/>
    <w:rsid w:val="008622AE"/>
    <w:rsid w:val="008630DB"/>
    <w:rsid w:val="00866445"/>
    <w:rsid w:val="00870762"/>
    <w:rsid w:val="008713D6"/>
    <w:rsid w:val="00873E39"/>
    <w:rsid w:val="008939FD"/>
    <w:rsid w:val="008A15BD"/>
    <w:rsid w:val="008B6DC9"/>
    <w:rsid w:val="008B745C"/>
    <w:rsid w:val="008C4969"/>
    <w:rsid w:val="008D5E4E"/>
    <w:rsid w:val="008E27F4"/>
    <w:rsid w:val="008F40E2"/>
    <w:rsid w:val="009050CA"/>
    <w:rsid w:val="00905746"/>
    <w:rsid w:val="00911EDC"/>
    <w:rsid w:val="00914040"/>
    <w:rsid w:val="009235CB"/>
    <w:rsid w:val="009255E0"/>
    <w:rsid w:val="0094042A"/>
    <w:rsid w:val="00941C02"/>
    <w:rsid w:val="009444A2"/>
    <w:rsid w:val="009472DB"/>
    <w:rsid w:val="0095109D"/>
    <w:rsid w:val="00954BE1"/>
    <w:rsid w:val="009926F8"/>
    <w:rsid w:val="00993548"/>
    <w:rsid w:val="009A7293"/>
    <w:rsid w:val="009B2296"/>
    <w:rsid w:val="009B6386"/>
    <w:rsid w:val="009D1E46"/>
    <w:rsid w:val="009E3530"/>
    <w:rsid w:val="009F1AC9"/>
    <w:rsid w:val="009F1CA2"/>
    <w:rsid w:val="009F434A"/>
    <w:rsid w:val="00A02467"/>
    <w:rsid w:val="00A061D3"/>
    <w:rsid w:val="00A07604"/>
    <w:rsid w:val="00A14793"/>
    <w:rsid w:val="00A270D8"/>
    <w:rsid w:val="00A31A98"/>
    <w:rsid w:val="00A33CA1"/>
    <w:rsid w:val="00A35678"/>
    <w:rsid w:val="00A452C8"/>
    <w:rsid w:val="00A77308"/>
    <w:rsid w:val="00A82A10"/>
    <w:rsid w:val="00A9515A"/>
    <w:rsid w:val="00AA7E9E"/>
    <w:rsid w:val="00AB0408"/>
    <w:rsid w:val="00AC153A"/>
    <w:rsid w:val="00AD05A0"/>
    <w:rsid w:val="00AD09A5"/>
    <w:rsid w:val="00AE4CD6"/>
    <w:rsid w:val="00AE5187"/>
    <w:rsid w:val="00AF195F"/>
    <w:rsid w:val="00AF37A8"/>
    <w:rsid w:val="00AF6C7B"/>
    <w:rsid w:val="00B0621B"/>
    <w:rsid w:val="00B06841"/>
    <w:rsid w:val="00B16B11"/>
    <w:rsid w:val="00B33224"/>
    <w:rsid w:val="00B34EC0"/>
    <w:rsid w:val="00B469CE"/>
    <w:rsid w:val="00B52F5F"/>
    <w:rsid w:val="00B55637"/>
    <w:rsid w:val="00B570C9"/>
    <w:rsid w:val="00B6094A"/>
    <w:rsid w:val="00B67F0B"/>
    <w:rsid w:val="00B8527D"/>
    <w:rsid w:val="00B903EE"/>
    <w:rsid w:val="00B905A3"/>
    <w:rsid w:val="00B9136B"/>
    <w:rsid w:val="00B920D8"/>
    <w:rsid w:val="00B950CD"/>
    <w:rsid w:val="00B951FA"/>
    <w:rsid w:val="00BA2F70"/>
    <w:rsid w:val="00BB5271"/>
    <w:rsid w:val="00BC20D5"/>
    <w:rsid w:val="00BD20B5"/>
    <w:rsid w:val="00BD3EEA"/>
    <w:rsid w:val="00BD58F5"/>
    <w:rsid w:val="00BE662A"/>
    <w:rsid w:val="00BE755D"/>
    <w:rsid w:val="00BF0FBC"/>
    <w:rsid w:val="00BF1061"/>
    <w:rsid w:val="00BF1126"/>
    <w:rsid w:val="00BF4D45"/>
    <w:rsid w:val="00BF5A71"/>
    <w:rsid w:val="00BF6046"/>
    <w:rsid w:val="00C042C2"/>
    <w:rsid w:val="00C06130"/>
    <w:rsid w:val="00C1499B"/>
    <w:rsid w:val="00C2057F"/>
    <w:rsid w:val="00C30B82"/>
    <w:rsid w:val="00C30D3A"/>
    <w:rsid w:val="00C35AD4"/>
    <w:rsid w:val="00C506FA"/>
    <w:rsid w:val="00C5283B"/>
    <w:rsid w:val="00C531E4"/>
    <w:rsid w:val="00C53FBF"/>
    <w:rsid w:val="00C54D48"/>
    <w:rsid w:val="00C64AB1"/>
    <w:rsid w:val="00C65F3C"/>
    <w:rsid w:val="00C674D5"/>
    <w:rsid w:val="00C75382"/>
    <w:rsid w:val="00C82299"/>
    <w:rsid w:val="00C93315"/>
    <w:rsid w:val="00C96482"/>
    <w:rsid w:val="00C971A4"/>
    <w:rsid w:val="00C97707"/>
    <w:rsid w:val="00CA3EF4"/>
    <w:rsid w:val="00CA7E30"/>
    <w:rsid w:val="00CB1D97"/>
    <w:rsid w:val="00CB5502"/>
    <w:rsid w:val="00CD130F"/>
    <w:rsid w:val="00CD722F"/>
    <w:rsid w:val="00CE452C"/>
    <w:rsid w:val="00CE59AB"/>
    <w:rsid w:val="00CE68DC"/>
    <w:rsid w:val="00CF4ACE"/>
    <w:rsid w:val="00D00D17"/>
    <w:rsid w:val="00D00E8B"/>
    <w:rsid w:val="00D065F2"/>
    <w:rsid w:val="00D06F56"/>
    <w:rsid w:val="00D20E47"/>
    <w:rsid w:val="00D21BA9"/>
    <w:rsid w:val="00D26109"/>
    <w:rsid w:val="00D320F1"/>
    <w:rsid w:val="00D32C9F"/>
    <w:rsid w:val="00D344F7"/>
    <w:rsid w:val="00D42A41"/>
    <w:rsid w:val="00D45E37"/>
    <w:rsid w:val="00D5070D"/>
    <w:rsid w:val="00D55F72"/>
    <w:rsid w:val="00D61216"/>
    <w:rsid w:val="00D7309B"/>
    <w:rsid w:val="00D92C56"/>
    <w:rsid w:val="00DB2C1F"/>
    <w:rsid w:val="00DC23AC"/>
    <w:rsid w:val="00DE2EC8"/>
    <w:rsid w:val="00DE6EA7"/>
    <w:rsid w:val="00E03E19"/>
    <w:rsid w:val="00E14A48"/>
    <w:rsid w:val="00E20B8C"/>
    <w:rsid w:val="00E223FB"/>
    <w:rsid w:val="00E3492C"/>
    <w:rsid w:val="00E37200"/>
    <w:rsid w:val="00E559D3"/>
    <w:rsid w:val="00E55B62"/>
    <w:rsid w:val="00E55B6B"/>
    <w:rsid w:val="00E62026"/>
    <w:rsid w:val="00E621D5"/>
    <w:rsid w:val="00E65ED5"/>
    <w:rsid w:val="00E778E5"/>
    <w:rsid w:val="00E80AAB"/>
    <w:rsid w:val="00E85828"/>
    <w:rsid w:val="00E914B7"/>
    <w:rsid w:val="00E9195C"/>
    <w:rsid w:val="00E91DED"/>
    <w:rsid w:val="00EA373F"/>
    <w:rsid w:val="00EA5CA6"/>
    <w:rsid w:val="00EA622D"/>
    <w:rsid w:val="00EC6033"/>
    <w:rsid w:val="00ED6157"/>
    <w:rsid w:val="00EE5A79"/>
    <w:rsid w:val="00EE6C7D"/>
    <w:rsid w:val="00EE759A"/>
    <w:rsid w:val="00EF614F"/>
    <w:rsid w:val="00F1770A"/>
    <w:rsid w:val="00F17C78"/>
    <w:rsid w:val="00F202B2"/>
    <w:rsid w:val="00F252A1"/>
    <w:rsid w:val="00F32BFD"/>
    <w:rsid w:val="00F52908"/>
    <w:rsid w:val="00F65695"/>
    <w:rsid w:val="00F71B70"/>
    <w:rsid w:val="00F852B3"/>
    <w:rsid w:val="00F97443"/>
    <w:rsid w:val="00FA25AA"/>
    <w:rsid w:val="00FA6325"/>
    <w:rsid w:val="00FB3B18"/>
    <w:rsid w:val="00FC3D14"/>
    <w:rsid w:val="00FC4171"/>
    <w:rsid w:val="00FD310E"/>
    <w:rsid w:val="00FE35A5"/>
    <w:rsid w:val="00FF5174"/>
    <w:rsid w:val="00FF52B8"/>
    <w:rsid w:val="04A61B61"/>
    <w:rsid w:val="05290F57"/>
    <w:rsid w:val="068568E0"/>
    <w:rsid w:val="07D6476B"/>
    <w:rsid w:val="0B9E444D"/>
    <w:rsid w:val="0D7F7652"/>
    <w:rsid w:val="0F4B55A7"/>
    <w:rsid w:val="13871BD3"/>
    <w:rsid w:val="13CF30E6"/>
    <w:rsid w:val="14DC1BA5"/>
    <w:rsid w:val="15E513E5"/>
    <w:rsid w:val="17FD6E5C"/>
    <w:rsid w:val="188032F2"/>
    <w:rsid w:val="18E21560"/>
    <w:rsid w:val="197762DD"/>
    <w:rsid w:val="20CB5CE8"/>
    <w:rsid w:val="212705E9"/>
    <w:rsid w:val="21842C81"/>
    <w:rsid w:val="22B91B86"/>
    <w:rsid w:val="26AE3913"/>
    <w:rsid w:val="29581C87"/>
    <w:rsid w:val="2E752311"/>
    <w:rsid w:val="2FAB0A4B"/>
    <w:rsid w:val="31F462C5"/>
    <w:rsid w:val="33512240"/>
    <w:rsid w:val="34DB3F45"/>
    <w:rsid w:val="34DD7448"/>
    <w:rsid w:val="35077302"/>
    <w:rsid w:val="36C33DE5"/>
    <w:rsid w:val="38400CF1"/>
    <w:rsid w:val="393F0DD8"/>
    <w:rsid w:val="39FA666B"/>
    <w:rsid w:val="3A430524"/>
    <w:rsid w:val="3A514477"/>
    <w:rsid w:val="3A7B726C"/>
    <w:rsid w:val="3C014182"/>
    <w:rsid w:val="3CF249E2"/>
    <w:rsid w:val="3D7F5103"/>
    <w:rsid w:val="3E3D10AA"/>
    <w:rsid w:val="3E43382E"/>
    <w:rsid w:val="3F3E5024"/>
    <w:rsid w:val="43FA7379"/>
    <w:rsid w:val="445F4F89"/>
    <w:rsid w:val="45103DBB"/>
    <w:rsid w:val="45A44DCD"/>
    <w:rsid w:val="45FE1FE4"/>
    <w:rsid w:val="46B94916"/>
    <w:rsid w:val="4702058D"/>
    <w:rsid w:val="4790561E"/>
    <w:rsid w:val="49ED06EE"/>
    <w:rsid w:val="4AAA6D15"/>
    <w:rsid w:val="4ABE28B9"/>
    <w:rsid w:val="4BB84D1D"/>
    <w:rsid w:val="4BF430F9"/>
    <w:rsid w:val="4C6813E7"/>
    <w:rsid w:val="4CAF3C62"/>
    <w:rsid w:val="4DE82A5F"/>
    <w:rsid w:val="500B145F"/>
    <w:rsid w:val="50412E47"/>
    <w:rsid w:val="52C35ACC"/>
    <w:rsid w:val="536F1AF1"/>
    <w:rsid w:val="58BD0558"/>
    <w:rsid w:val="58D66097"/>
    <w:rsid w:val="594A63A2"/>
    <w:rsid w:val="59D217EB"/>
    <w:rsid w:val="5A3E219F"/>
    <w:rsid w:val="5AC00965"/>
    <w:rsid w:val="5C7A0445"/>
    <w:rsid w:val="5D064F7B"/>
    <w:rsid w:val="5E532484"/>
    <w:rsid w:val="5F1E1D1D"/>
    <w:rsid w:val="5F1E43A2"/>
    <w:rsid w:val="607602AB"/>
    <w:rsid w:val="656E7B61"/>
    <w:rsid w:val="65DF04D3"/>
    <w:rsid w:val="6775534A"/>
    <w:rsid w:val="680F210F"/>
    <w:rsid w:val="69C566D9"/>
    <w:rsid w:val="6D5835E0"/>
    <w:rsid w:val="6D9D6FDB"/>
    <w:rsid w:val="6E0A0624"/>
    <w:rsid w:val="6ED01D59"/>
    <w:rsid w:val="716A2D22"/>
    <w:rsid w:val="71C42137"/>
    <w:rsid w:val="72AD68BE"/>
    <w:rsid w:val="748E7A7C"/>
    <w:rsid w:val="749F4A62"/>
    <w:rsid w:val="75A51D7A"/>
    <w:rsid w:val="75E02E70"/>
    <w:rsid w:val="7A1519F2"/>
    <w:rsid w:val="7BA20772"/>
    <w:rsid w:val="7D9C3F0F"/>
    <w:rsid w:val="7EB2746C"/>
    <w:rsid w:val="7F004FEC"/>
    <w:rsid w:val="7F095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1B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customStyle="1" w:styleId="text">
    <w:name w:val="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red">
    <w:name w:val="color-red"/>
    <w:basedOn w:val="DefaultParagraphFont"/>
    <w:rsid w:val="003C5F43"/>
  </w:style>
  <w:style w:type="character" w:customStyle="1" w:styleId="link-color">
    <w:name w:val="link-color"/>
    <w:basedOn w:val="DefaultParagraphFont"/>
    <w:rsid w:val="003C5F43"/>
  </w:style>
  <w:style w:type="character" w:customStyle="1" w:styleId="Heading4Char">
    <w:name w:val="Heading 4 Char"/>
    <w:basedOn w:val="DefaultParagraphFont"/>
    <w:link w:val="Heading4"/>
    <w:uiPriority w:val="9"/>
    <w:semiHidden/>
    <w:rsid w:val="005B1BC1"/>
    <w:rPr>
      <w:rFonts w:asciiTheme="majorHAnsi" w:eastAsiaTheme="majorEastAsia" w:hAnsiTheme="majorHAnsi" w:cstheme="majorBidi"/>
      <w:b/>
      <w:bCs/>
      <w:i/>
      <w:iCs/>
      <w:color w:val="4F81BD" w:themeColor="accent1"/>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1B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customStyle="1" w:styleId="text">
    <w:name w:val="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red">
    <w:name w:val="color-red"/>
    <w:basedOn w:val="DefaultParagraphFont"/>
    <w:rsid w:val="003C5F43"/>
  </w:style>
  <w:style w:type="character" w:customStyle="1" w:styleId="link-color">
    <w:name w:val="link-color"/>
    <w:basedOn w:val="DefaultParagraphFont"/>
    <w:rsid w:val="003C5F43"/>
  </w:style>
  <w:style w:type="character" w:customStyle="1" w:styleId="Heading4Char">
    <w:name w:val="Heading 4 Char"/>
    <w:basedOn w:val="DefaultParagraphFont"/>
    <w:link w:val="Heading4"/>
    <w:uiPriority w:val="9"/>
    <w:semiHidden/>
    <w:rsid w:val="005B1BC1"/>
    <w:rPr>
      <w:rFonts w:asciiTheme="majorHAnsi" w:eastAsiaTheme="majorEastAsia" w:hAnsiTheme="majorHAnsi" w:cstheme="majorBidi"/>
      <w:b/>
      <w:bCs/>
      <w:i/>
      <w:iCs/>
      <w:color w:val="4F81BD" w:themeColor="accent1"/>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349">
      <w:bodyDiv w:val="1"/>
      <w:marLeft w:val="0"/>
      <w:marRight w:val="0"/>
      <w:marTop w:val="0"/>
      <w:marBottom w:val="0"/>
      <w:divBdr>
        <w:top w:val="none" w:sz="0" w:space="0" w:color="auto"/>
        <w:left w:val="none" w:sz="0" w:space="0" w:color="auto"/>
        <w:bottom w:val="none" w:sz="0" w:space="0" w:color="auto"/>
        <w:right w:val="none" w:sz="0" w:space="0" w:color="auto"/>
      </w:divBdr>
    </w:div>
    <w:div w:id="40136165">
      <w:bodyDiv w:val="1"/>
      <w:marLeft w:val="0"/>
      <w:marRight w:val="0"/>
      <w:marTop w:val="0"/>
      <w:marBottom w:val="0"/>
      <w:divBdr>
        <w:top w:val="none" w:sz="0" w:space="0" w:color="auto"/>
        <w:left w:val="none" w:sz="0" w:space="0" w:color="auto"/>
        <w:bottom w:val="none" w:sz="0" w:space="0" w:color="auto"/>
        <w:right w:val="none" w:sz="0" w:space="0" w:color="auto"/>
      </w:divBdr>
    </w:div>
    <w:div w:id="51077338">
      <w:bodyDiv w:val="1"/>
      <w:marLeft w:val="0"/>
      <w:marRight w:val="0"/>
      <w:marTop w:val="0"/>
      <w:marBottom w:val="0"/>
      <w:divBdr>
        <w:top w:val="none" w:sz="0" w:space="0" w:color="auto"/>
        <w:left w:val="none" w:sz="0" w:space="0" w:color="auto"/>
        <w:bottom w:val="none" w:sz="0" w:space="0" w:color="auto"/>
        <w:right w:val="none" w:sz="0" w:space="0" w:color="auto"/>
      </w:divBdr>
    </w:div>
    <w:div w:id="53509198">
      <w:bodyDiv w:val="1"/>
      <w:marLeft w:val="0"/>
      <w:marRight w:val="0"/>
      <w:marTop w:val="0"/>
      <w:marBottom w:val="0"/>
      <w:divBdr>
        <w:top w:val="none" w:sz="0" w:space="0" w:color="auto"/>
        <w:left w:val="none" w:sz="0" w:space="0" w:color="auto"/>
        <w:bottom w:val="none" w:sz="0" w:space="0" w:color="auto"/>
        <w:right w:val="none" w:sz="0" w:space="0" w:color="auto"/>
      </w:divBdr>
    </w:div>
    <w:div w:id="57825570">
      <w:bodyDiv w:val="1"/>
      <w:marLeft w:val="0"/>
      <w:marRight w:val="0"/>
      <w:marTop w:val="0"/>
      <w:marBottom w:val="0"/>
      <w:divBdr>
        <w:top w:val="none" w:sz="0" w:space="0" w:color="auto"/>
        <w:left w:val="none" w:sz="0" w:space="0" w:color="auto"/>
        <w:bottom w:val="none" w:sz="0" w:space="0" w:color="auto"/>
        <w:right w:val="none" w:sz="0" w:space="0" w:color="auto"/>
      </w:divBdr>
    </w:div>
    <w:div w:id="60564425">
      <w:bodyDiv w:val="1"/>
      <w:marLeft w:val="0"/>
      <w:marRight w:val="0"/>
      <w:marTop w:val="0"/>
      <w:marBottom w:val="0"/>
      <w:divBdr>
        <w:top w:val="none" w:sz="0" w:space="0" w:color="auto"/>
        <w:left w:val="none" w:sz="0" w:space="0" w:color="auto"/>
        <w:bottom w:val="none" w:sz="0" w:space="0" w:color="auto"/>
        <w:right w:val="none" w:sz="0" w:space="0" w:color="auto"/>
      </w:divBdr>
    </w:div>
    <w:div w:id="98450479">
      <w:bodyDiv w:val="1"/>
      <w:marLeft w:val="0"/>
      <w:marRight w:val="0"/>
      <w:marTop w:val="0"/>
      <w:marBottom w:val="0"/>
      <w:divBdr>
        <w:top w:val="none" w:sz="0" w:space="0" w:color="auto"/>
        <w:left w:val="none" w:sz="0" w:space="0" w:color="auto"/>
        <w:bottom w:val="none" w:sz="0" w:space="0" w:color="auto"/>
        <w:right w:val="none" w:sz="0" w:space="0" w:color="auto"/>
      </w:divBdr>
    </w:div>
    <w:div w:id="231737538">
      <w:bodyDiv w:val="1"/>
      <w:marLeft w:val="0"/>
      <w:marRight w:val="0"/>
      <w:marTop w:val="0"/>
      <w:marBottom w:val="0"/>
      <w:divBdr>
        <w:top w:val="none" w:sz="0" w:space="0" w:color="auto"/>
        <w:left w:val="none" w:sz="0" w:space="0" w:color="auto"/>
        <w:bottom w:val="none" w:sz="0" w:space="0" w:color="auto"/>
        <w:right w:val="none" w:sz="0" w:space="0" w:color="auto"/>
      </w:divBdr>
    </w:div>
    <w:div w:id="255872522">
      <w:bodyDiv w:val="1"/>
      <w:marLeft w:val="0"/>
      <w:marRight w:val="0"/>
      <w:marTop w:val="0"/>
      <w:marBottom w:val="0"/>
      <w:divBdr>
        <w:top w:val="none" w:sz="0" w:space="0" w:color="auto"/>
        <w:left w:val="none" w:sz="0" w:space="0" w:color="auto"/>
        <w:bottom w:val="none" w:sz="0" w:space="0" w:color="auto"/>
        <w:right w:val="none" w:sz="0" w:space="0" w:color="auto"/>
      </w:divBdr>
    </w:div>
    <w:div w:id="272245666">
      <w:bodyDiv w:val="1"/>
      <w:marLeft w:val="0"/>
      <w:marRight w:val="0"/>
      <w:marTop w:val="0"/>
      <w:marBottom w:val="0"/>
      <w:divBdr>
        <w:top w:val="none" w:sz="0" w:space="0" w:color="auto"/>
        <w:left w:val="none" w:sz="0" w:space="0" w:color="auto"/>
        <w:bottom w:val="none" w:sz="0" w:space="0" w:color="auto"/>
        <w:right w:val="none" w:sz="0" w:space="0" w:color="auto"/>
      </w:divBdr>
    </w:div>
    <w:div w:id="291638735">
      <w:bodyDiv w:val="1"/>
      <w:marLeft w:val="0"/>
      <w:marRight w:val="0"/>
      <w:marTop w:val="0"/>
      <w:marBottom w:val="0"/>
      <w:divBdr>
        <w:top w:val="none" w:sz="0" w:space="0" w:color="auto"/>
        <w:left w:val="none" w:sz="0" w:space="0" w:color="auto"/>
        <w:bottom w:val="none" w:sz="0" w:space="0" w:color="auto"/>
        <w:right w:val="none" w:sz="0" w:space="0" w:color="auto"/>
      </w:divBdr>
    </w:div>
    <w:div w:id="391391748">
      <w:bodyDiv w:val="1"/>
      <w:marLeft w:val="0"/>
      <w:marRight w:val="0"/>
      <w:marTop w:val="0"/>
      <w:marBottom w:val="0"/>
      <w:divBdr>
        <w:top w:val="none" w:sz="0" w:space="0" w:color="auto"/>
        <w:left w:val="none" w:sz="0" w:space="0" w:color="auto"/>
        <w:bottom w:val="none" w:sz="0" w:space="0" w:color="auto"/>
        <w:right w:val="none" w:sz="0" w:space="0" w:color="auto"/>
      </w:divBdr>
    </w:div>
    <w:div w:id="431633453">
      <w:bodyDiv w:val="1"/>
      <w:marLeft w:val="0"/>
      <w:marRight w:val="0"/>
      <w:marTop w:val="0"/>
      <w:marBottom w:val="0"/>
      <w:divBdr>
        <w:top w:val="none" w:sz="0" w:space="0" w:color="auto"/>
        <w:left w:val="none" w:sz="0" w:space="0" w:color="auto"/>
        <w:bottom w:val="none" w:sz="0" w:space="0" w:color="auto"/>
        <w:right w:val="none" w:sz="0" w:space="0" w:color="auto"/>
      </w:divBdr>
    </w:div>
    <w:div w:id="433601419">
      <w:bodyDiv w:val="1"/>
      <w:marLeft w:val="0"/>
      <w:marRight w:val="0"/>
      <w:marTop w:val="0"/>
      <w:marBottom w:val="0"/>
      <w:divBdr>
        <w:top w:val="none" w:sz="0" w:space="0" w:color="auto"/>
        <w:left w:val="none" w:sz="0" w:space="0" w:color="auto"/>
        <w:bottom w:val="none" w:sz="0" w:space="0" w:color="auto"/>
        <w:right w:val="none" w:sz="0" w:space="0" w:color="auto"/>
      </w:divBdr>
    </w:div>
    <w:div w:id="442724398">
      <w:bodyDiv w:val="1"/>
      <w:marLeft w:val="0"/>
      <w:marRight w:val="0"/>
      <w:marTop w:val="0"/>
      <w:marBottom w:val="0"/>
      <w:divBdr>
        <w:top w:val="none" w:sz="0" w:space="0" w:color="auto"/>
        <w:left w:val="none" w:sz="0" w:space="0" w:color="auto"/>
        <w:bottom w:val="none" w:sz="0" w:space="0" w:color="auto"/>
        <w:right w:val="none" w:sz="0" w:space="0" w:color="auto"/>
      </w:divBdr>
    </w:div>
    <w:div w:id="470287947">
      <w:bodyDiv w:val="1"/>
      <w:marLeft w:val="0"/>
      <w:marRight w:val="0"/>
      <w:marTop w:val="0"/>
      <w:marBottom w:val="0"/>
      <w:divBdr>
        <w:top w:val="none" w:sz="0" w:space="0" w:color="auto"/>
        <w:left w:val="none" w:sz="0" w:space="0" w:color="auto"/>
        <w:bottom w:val="none" w:sz="0" w:space="0" w:color="auto"/>
        <w:right w:val="none" w:sz="0" w:space="0" w:color="auto"/>
      </w:divBdr>
    </w:div>
    <w:div w:id="494540810">
      <w:bodyDiv w:val="1"/>
      <w:marLeft w:val="0"/>
      <w:marRight w:val="0"/>
      <w:marTop w:val="0"/>
      <w:marBottom w:val="0"/>
      <w:divBdr>
        <w:top w:val="none" w:sz="0" w:space="0" w:color="auto"/>
        <w:left w:val="none" w:sz="0" w:space="0" w:color="auto"/>
        <w:bottom w:val="none" w:sz="0" w:space="0" w:color="auto"/>
        <w:right w:val="none" w:sz="0" w:space="0" w:color="auto"/>
      </w:divBdr>
    </w:div>
    <w:div w:id="655450806">
      <w:bodyDiv w:val="1"/>
      <w:marLeft w:val="0"/>
      <w:marRight w:val="0"/>
      <w:marTop w:val="0"/>
      <w:marBottom w:val="0"/>
      <w:divBdr>
        <w:top w:val="none" w:sz="0" w:space="0" w:color="auto"/>
        <w:left w:val="none" w:sz="0" w:space="0" w:color="auto"/>
        <w:bottom w:val="none" w:sz="0" w:space="0" w:color="auto"/>
        <w:right w:val="none" w:sz="0" w:space="0" w:color="auto"/>
      </w:divBdr>
    </w:div>
    <w:div w:id="655456101">
      <w:bodyDiv w:val="1"/>
      <w:marLeft w:val="0"/>
      <w:marRight w:val="0"/>
      <w:marTop w:val="0"/>
      <w:marBottom w:val="0"/>
      <w:divBdr>
        <w:top w:val="none" w:sz="0" w:space="0" w:color="auto"/>
        <w:left w:val="none" w:sz="0" w:space="0" w:color="auto"/>
        <w:bottom w:val="none" w:sz="0" w:space="0" w:color="auto"/>
        <w:right w:val="none" w:sz="0" w:space="0" w:color="auto"/>
      </w:divBdr>
    </w:div>
    <w:div w:id="663050699">
      <w:bodyDiv w:val="1"/>
      <w:marLeft w:val="0"/>
      <w:marRight w:val="0"/>
      <w:marTop w:val="0"/>
      <w:marBottom w:val="0"/>
      <w:divBdr>
        <w:top w:val="none" w:sz="0" w:space="0" w:color="auto"/>
        <w:left w:val="none" w:sz="0" w:space="0" w:color="auto"/>
        <w:bottom w:val="none" w:sz="0" w:space="0" w:color="auto"/>
        <w:right w:val="none" w:sz="0" w:space="0" w:color="auto"/>
      </w:divBdr>
    </w:div>
    <w:div w:id="724064701">
      <w:bodyDiv w:val="1"/>
      <w:marLeft w:val="0"/>
      <w:marRight w:val="0"/>
      <w:marTop w:val="0"/>
      <w:marBottom w:val="0"/>
      <w:divBdr>
        <w:top w:val="none" w:sz="0" w:space="0" w:color="auto"/>
        <w:left w:val="none" w:sz="0" w:space="0" w:color="auto"/>
        <w:bottom w:val="none" w:sz="0" w:space="0" w:color="auto"/>
        <w:right w:val="none" w:sz="0" w:space="0" w:color="auto"/>
      </w:divBdr>
    </w:div>
    <w:div w:id="812066523">
      <w:bodyDiv w:val="1"/>
      <w:marLeft w:val="0"/>
      <w:marRight w:val="0"/>
      <w:marTop w:val="0"/>
      <w:marBottom w:val="0"/>
      <w:divBdr>
        <w:top w:val="none" w:sz="0" w:space="0" w:color="auto"/>
        <w:left w:val="none" w:sz="0" w:space="0" w:color="auto"/>
        <w:bottom w:val="none" w:sz="0" w:space="0" w:color="auto"/>
        <w:right w:val="none" w:sz="0" w:space="0" w:color="auto"/>
      </w:divBdr>
    </w:div>
    <w:div w:id="842738616">
      <w:bodyDiv w:val="1"/>
      <w:marLeft w:val="0"/>
      <w:marRight w:val="0"/>
      <w:marTop w:val="0"/>
      <w:marBottom w:val="0"/>
      <w:divBdr>
        <w:top w:val="none" w:sz="0" w:space="0" w:color="auto"/>
        <w:left w:val="none" w:sz="0" w:space="0" w:color="auto"/>
        <w:bottom w:val="none" w:sz="0" w:space="0" w:color="auto"/>
        <w:right w:val="none" w:sz="0" w:space="0" w:color="auto"/>
      </w:divBdr>
    </w:div>
    <w:div w:id="861163866">
      <w:bodyDiv w:val="1"/>
      <w:marLeft w:val="0"/>
      <w:marRight w:val="0"/>
      <w:marTop w:val="0"/>
      <w:marBottom w:val="0"/>
      <w:divBdr>
        <w:top w:val="none" w:sz="0" w:space="0" w:color="auto"/>
        <w:left w:val="none" w:sz="0" w:space="0" w:color="auto"/>
        <w:bottom w:val="none" w:sz="0" w:space="0" w:color="auto"/>
        <w:right w:val="none" w:sz="0" w:space="0" w:color="auto"/>
      </w:divBdr>
    </w:div>
    <w:div w:id="932780962">
      <w:bodyDiv w:val="1"/>
      <w:marLeft w:val="0"/>
      <w:marRight w:val="0"/>
      <w:marTop w:val="0"/>
      <w:marBottom w:val="0"/>
      <w:divBdr>
        <w:top w:val="none" w:sz="0" w:space="0" w:color="auto"/>
        <w:left w:val="none" w:sz="0" w:space="0" w:color="auto"/>
        <w:bottom w:val="none" w:sz="0" w:space="0" w:color="auto"/>
        <w:right w:val="none" w:sz="0" w:space="0" w:color="auto"/>
      </w:divBdr>
    </w:div>
    <w:div w:id="958993865">
      <w:bodyDiv w:val="1"/>
      <w:marLeft w:val="0"/>
      <w:marRight w:val="0"/>
      <w:marTop w:val="0"/>
      <w:marBottom w:val="0"/>
      <w:divBdr>
        <w:top w:val="none" w:sz="0" w:space="0" w:color="auto"/>
        <w:left w:val="none" w:sz="0" w:space="0" w:color="auto"/>
        <w:bottom w:val="none" w:sz="0" w:space="0" w:color="auto"/>
        <w:right w:val="none" w:sz="0" w:space="0" w:color="auto"/>
      </w:divBdr>
    </w:div>
    <w:div w:id="983654963">
      <w:bodyDiv w:val="1"/>
      <w:marLeft w:val="0"/>
      <w:marRight w:val="0"/>
      <w:marTop w:val="0"/>
      <w:marBottom w:val="0"/>
      <w:divBdr>
        <w:top w:val="none" w:sz="0" w:space="0" w:color="auto"/>
        <w:left w:val="none" w:sz="0" w:space="0" w:color="auto"/>
        <w:bottom w:val="none" w:sz="0" w:space="0" w:color="auto"/>
        <w:right w:val="none" w:sz="0" w:space="0" w:color="auto"/>
      </w:divBdr>
    </w:div>
    <w:div w:id="1024402810">
      <w:bodyDiv w:val="1"/>
      <w:marLeft w:val="0"/>
      <w:marRight w:val="0"/>
      <w:marTop w:val="0"/>
      <w:marBottom w:val="0"/>
      <w:divBdr>
        <w:top w:val="none" w:sz="0" w:space="0" w:color="auto"/>
        <w:left w:val="none" w:sz="0" w:space="0" w:color="auto"/>
        <w:bottom w:val="none" w:sz="0" w:space="0" w:color="auto"/>
        <w:right w:val="none" w:sz="0" w:space="0" w:color="auto"/>
      </w:divBdr>
    </w:div>
    <w:div w:id="1036270346">
      <w:bodyDiv w:val="1"/>
      <w:marLeft w:val="0"/>
      <w:marRight w:val="0"/>
      <w:marTop w:val="0"/>
      <w:marBottom w:val="0"/>
      <w:divBdr>
        <w:top w:val="none" w:sz="0" w:space="0" w:color="auto"/>
        <w:left w:val="none" w:sz="0" w:space="0" w:color="auto"/>
        <w:bottom w:val="none" w:sz="0" w:space="0" w:color="auto"/>
        <w:right w:val="none" w:sz="0" w:space="0" w:color="auto"/>
      </w:divBdr>
    </w:div>
    <w:div w:id="1115707519">
      <w:bodyDiv w:val="1"/>
      <w:marLeft w:val="0"/>
      <w:marRight w:val="0"/>
      <w:marTop w:val="0"/>
      <w:marBottom w:val="0"/>
      <w:divBdr>
        <w:top w:val="none" w:sz="0" w:space="0" w:color="auto"/>
        <w:left w:val="none" w:sz="0" w:space="0" w:color="auto"/>
        <w:bottom w:val="none" w:sz="0" w:space="0" w:color="auto"/>
        <w:right w:val="none" w:sz="0" w:space="0" w:color="auto"/>
      </w:divBdr>
    </w:div>
    <w:div w:id="1144545157">
      <w:bodyDiv w:val="1"/>
      <w:marLeft w:val="0"/>
      <w:marRight w:val="0"/>
      <w:marTop w:val="0"/>
      <w:marBottom w:val="0"/>
      <w:divBdr>
        <w:top w:val="none" w:sz="0" w:space="0" w:color="auto"/>
        <w:left w:val="none" w:sz="0" w:space="0" w:color="auto"/>
        <w:bottom w:val="none" w:sz="0" w:space="0" w:color="auto"/>
        <w:right w:val="none" w:sz="0" w:space="0" w:color="auto"/>
      </w:divBdr>
      <w:divsChild>
        <w:div w:id="170487693">
          <w:marLeft w:val="0"/>
          <w:marRight w:val="0"/>
          <w:marTop w:val="0"/>
          <w:marBottom w:val="0"/>
          <w:divBdr>
            <w:top w:val="none" w:sz="0" w:space="0" w:color="auto"/>
            <w:left w:val="none" w:sz="0" w:space="0" w:color="auto"/>
            <w:bottom w:val="none" w:sz="0" w:space="0" w:color="auto"/>
            <w:right w:val="none" w:sz="0" w:space="0" w:color="auto"/>
          </w:divBdr>
        </w:div>
        <w:div w:id="957174852">
          <w:marLeft w:val="0"/>
          <w:marRight w:val="0"/>
          <w:marTop w:val="0"/>
          <w:marBottom w:val="360"/>
          <w:divBdr>
            <w:top w:val="none" w:sz="0" w:space="0" w:color="auto"/>
            <w:left w:val="none" w:sz="0" w:space="0" w:color="auto"/>
            <w:bottom w:val="none" w:sz="0" w:space="0" w:color="auto"/>
            <w:right w:val="none" w:sz="0" w:space="0" w:color="auto"/>
          </w:divBdr>
          <w:divsChild>
            <w:div w:id="225998850">
              <w:marLeft w:val="0"/>
              <w:marRight w:val="0"/>
              <w:marTop w:val="0"/>
              <w:marBottom w:val="0"/>
              <w:divBdr>
                <w:top w:val="none" w:sz="0" w:space="0" w:color="auto"/>
                <w:left w:val="none" w:sz="0" w:space="0" w:color="auto"/>
                <w:bottom w:val="none" w:sz="0" w:space="0" w:color="auto"/>
                <w:right w:val="none" w:sz="0" w:space="0" w:color="auto"/>
              </w:divBdr>
            </w:div>
            <w:div w:id="531846700">
              <w:marLeft w:val="0"/>
              <w:marRight w:val="0"/>
              <w:marTop w:val="0"/>
              <w:marBottom w:val="0"/>
              <w:divBdr>
                <w:top w:val="none" w:sz="0" w:space="0" w:color="auto"/>
                <w:left w:val="none" w:sz="0" w:space="0" w:color="auto"/>
                <w:bottom w:val="none" w:sz="0" w:space="0" w:color="auto"/>
                <w:right w:val="none" w:sz="0" w:space="0" w:color="auto"/>
              </w:divBdr>
            </w:div>
            <w:div w:id="2048137370">
              <w:marLeft w:val="0"/>
              <w:marRight w:val="0"/>
              <w:marTop w:val="0"/>
              <w:marBottom w:val="0"/>
              <w:divBdr>
                <w:top w:val="none" w:sz="0" w:space="0" w:color="auto"/>
                <w:left w:val="none" w:sz="0" w:space="0" w:color="auto"/>
                <w:bottom w:val="none" w:sz="0" w:space="0" w:color="auto"/>
                <w:right w:val="none" w:sz="0" w:space="0" w:color="auto"/>
              </w:divBdr>
            </w:div>
            <w:div w:id="1448818114">
              <w:marLeft w:val="0"/>
              <w:marRight w:val="0"/>
              <w:marTop w:val="0"/>
              <w:marBottom w:val="0"/>
              <w:divBdr>
                <w:top w:val="none" w:sz="0" w:space="0" w:color="auto"/>
                <w:left w:val="none" w:sz="0" w:space="0" w:color="auto"/>
                <w:bottom w:val="none" w:sz="0" w:space="0" w:color="auto"/>
                <w:right w:val="none" w:sz="0" w:space="0" w:color="auto"/>
              </w:divBdr>
            </w:div>
            <w:div w:id="1860270103">
              <w:marLeft w:val="0"/>
              <w:marRight w:val="0"/>
              <w:marTop w:val="0"/>
              <w:marBottom w:val="0"/>
              <w:divBdr>
                <w:top w:val="none" w:sz="0" w:space="0" w:color="auto"/>
                <w:left w:val="none" w:sz="0" w:space="0" w:color="auto"/>
                <w:bottom w:val="none" w:sz="0" w:space="0" w:color="auto"/>
                <w:right w:val="none" w:sz="0" w:space="0" w:color="auto"/>
              </w:divBdr>
            </w:div>
            <w:div w:id="720982129">
              <w:marLeft w:val="0"/>
              <w:marRight w:val="0"/>
              <w:marTop w:val="0"/>
              <w:marBottom w:val="0"/>
              <w:divBdr>
                <w:top w:val="none" w:sz="0" w:space="0" w:color="auto"/>
                <w:left w:val="none" w:sz="0" w:space="0" w:color="auto"/>
                <w:bottom w:val="none" w:sz="0" w:space="0" w:color="auto"/>
                <w:right w:val="none" w:sz="0" w:space="0" w:color="auto"/>
              </w:divBdr>
            </w:div>
            <w:div w:id="436683133">
              <w:marLeft w:val="0"/>
              <w:marRight w:val="0"/>
              <w:marTop w:val="0"/>
              <w:marBottom w:val="0"/>
              <w:divBdr>
                <w:top w:val="none" w:sz="0" w:space="0" w:color="auto"/>
                <w:left w:val="none" w:sz="0" w:space="0" w:color="auto"/>
                <w:bottom w:val="none" w:sz="0" w:space="0" w:color="auto"/>
                <w:right w:val="none" w:sz="0" w:space="0" w:color="auto"/>
              </w:divBdr>
            </w:div>
          </w:divsChild>
        </w:div>
        <w:div w:id="1577858851">
          <w:marLeft w:val="0"/>
          <w:marRight w:val="0"/>
          <w:marTop w:val="0"/>
          <w:marBottom w:val="0"/>
          <w:divBdr>
            <w:top w:val="none" w:sz="0" w:space="0" w:color="auto"/>
            <w:left w:val="none" w:sz="0" w:space="0" w:color="auto"/>
            <w:bottom w:val="none" w:sz="0" w:space="0" w:color="auto"/>
            <w:right w:val="none" w:sz="0" w:space="0" w:color="auto"/>
          </w:divBdr>
        </w:div>
      </w:divsChild>
    </w:div>
    <w:div w:id="1228342982">
      <w:bodyDiv w:val="1"/>
      <w:marLeft w:val="0"/>
      <w:marRight w:val="0"/>
      <w:marTop w:val="0"/>
      <w:marBottom w:val="0"/>
      <w:divBdr>
        <w:top w:val="none" w:sz="0" w:space="0" w:color="auto"/>
        <w:left w:val="none" w:sz="0" w:space="0" w:color="auto"/>
        <w:bottom w:val="none" w:sz="0" w:space="0" w:color="auto"/>
        <w:right w:val="none" w:sz="0" w:space="0" w:color="auto"/>
      </w:divBdr>
    </w:div>
    <w:div w:id="1229421263">
      <w:bodyDiv w:val="1"/>
      <w:marLeft w:val="0"/>
      <w:marRight w:val="0"/>
      <w:marTop w:val="0"/>
      <w:marBottom w:val="0"/>
      <w:divBdr>
        <w:top w:val="none" w:sz="0" w:space="0" w:color="auto"/>
        <w:left w:val="none" w:sz="0" w:space="0" w:color="auto"/>
        <w:bottom w:val="none" w:sz="0" w:space="0" w:color="auto"/>
        <w:right w:val="none" w:sz="0" w:space="0" w:color="auto"/>
      </w:divBdr>
    </w:div>
    <w:div w:id="1386176966">
      <w:bodyDiv w:val="1"/>
      <w:marLeft w:val="0"/>
      <w:marRight w:val="0"/>
      <w:marTop w:val="0"/>
      <w:marBottom w:val="0"/>
      <w:divBdr>
        <w:top w:val="none" w:sz="0" w:space="0" w:color="auto"/>
        <w:left w:val="none" w:sz="0" w:space="0" w:color="auto"/>
        <w:bottom w:val="none" w:sz="0" w:space="0" w:color="auto"/>
        <w:right w:val="none" w:sz="0" w:space="0" w:color="auto"/>
      </w:divBdr>
    </w:div>
    <w:div w:id="1463428568">
      <w:bodyDiv w:val="1"/>
      <w:marLeft w:val="0"/>
      <w:marRight w:val="0"/>
      <w:marTop w:val="0"/>
      <w:marBottom w:val="0"/>
      <w:divBdr>
        <w:top w:val="none" w:sz="0" w:space="0" w:color="auto"/>
        <w:left w:val="none" w:sz="0" w:space="0" w:color="auto"/>
        <w:bottom w:val="none" w:sz="0" w:space="0" w:color="auto"/>
        <w:right w:val="none" w:sz="0" w:space="0" w:color="auto"/>
      </w:divBdr>
    </w:div>
    <w:div w:id="1475559855">
      <w:bodyDiv w:val="1"/>
      <w:marLeft w:val="0"/>
      <w:marRight w:val="0"/>
      <w:marTop w:val="0"/>
      <w:marBottom w:val="0"/>
      <w:divBdr>
        <w:top w:val="none" w:sz="0" w:space="0" w:color="auto"/>
        <w:left w:val="none" w:sz="0" w:space="0" w:color="auto"/>
        <w:bottom w:val="none" w:sz="0" w:space="0" w:color="auto"/>
        <w:right w:val="none" w:sz="0" w:space="0" w:color="auto"/>
      </w:divBdr>
    </w:div>
    <w:div w:id="1476138136">
      <w:bodyDiv w:val="1"/>
      <w:marLeft w:val="0"/>
      <w:marRight w:val="0"/>
      <w:marTop w:val="0"/>
      <w:marBottom w:val="0"/>
      <w:divBdr>
        <w:top w:val="none" w:sz="0" w:space="0" w:color="auto"/>
        <w:left w:val="none" w:sz="0" w:space="0" w:color="auto"/>
        <w:bottom w:val="none" w:sz="0" w:space="0" w:color="auto"/>
        <w:right w:val="none" w:sz="0" w:space="0" w:color="auto"/>
      </w:divBdr>
    </w:div>
    <w:div w:id="1499231548">
      <w:bodyDiv w:val="1"/>
      <w:marLeft w:val="0"/>
      <w:marRight w:val="0"/>
      <w:marTop w:val="0"/>
      <w:marBottom w:val="0"/>
      <w:divBdr>
        <w:top w:val="none" w:sz="0" w:space="0" w:color="auto"/>
        <w:left w:val="none" w:sz="0" w:space="0" w:color="auto"/>
        <w:bottom w:val="none" w:sz="0" w:space="0" w:color="auto"/>
        <w:right w:val="none" w:sz="0" w:space="0" w:color="auto"/>
      </w:divBdr>
    </w:div>
    <w:div w:id="1526021899">
      <w:bodyDiv w:val="1"/>
      <w:marLeft w:val="0"/>
      <w:marRight w:val="0"/>
      <w:marTop w:val="0"/>
      <w:marBottom w:val="0"/>
      <w:divBdr>
        <w:top w:val="none" w:sz="0" w:space="0" w:color="auto"/>
        <w:left w:val="none" w:sz="0" w:space="0" w:color="auto"/>
        <w:bottom w:val="none" w:sz="0" w:space="0" w:color="auto"/>
        <w:right w:val="none" w:sz="0" w:space="0" w:color="auto"/>
      </w:divBdr>
    </w:div>
    <w:div w:id="1526601563">
      <w:bodyDiv w:val="1"/>
      <w:marLeft w:val="0"/>
      <w:marRight w:val="0"/>
      <w:marTop w:val="0"/>
      <w:marBottom w:val="0"/>
      <w:divBdr>
        <w:top w:val="none" w:sz="0" w:space="0" w:color="auto"/>
        <w:left w:val="none" w:sz="0" w:space="0" w:color="auto"/>
        <w:bottom w:val="none" w:sz="0" w:space="0" w:color="auto"/>
        <w:right w:val="none" w:sz="0" w:space="0" w:color="auto"/>
      </w:divBdr>
    </w:div>
    <w:div w:id="1673725622">
      <w:bodyDiv w:val="1"/>
      <w:marLeft w:val="0"/>
      <w:marRight w:val="0"/>
      <w:marTop w:val="0"/>
      <w:marBottom w:val="0"/>
      <w:divBdr>
        <w:top w:val="none" w:sz="0" w:space="0" w:color="auto"/>
        <w:left w:val="none" w:sz="0" w:space="0" w:color="auto"/>
        <w:bottom w:val="none" w:sz="0" w:space="0" w:color="auto"/>
        <w:right w:val="none" w:sz="0" w:space="0" w:color="auto"/>
      </w:divBdr>
    </w:div>
    <w:div w:id="1766345004">
      <w:bodyDiv w:val="1"/>
      <w:marLeft w:val="0"/>
      <w:marRight w:val="0"/>
      <w:marTop w:val="0"/>
      <w:marBottom w:val="0"/>
      <w:divBdr>
        <w:top w:val="none" w:sz="0" w:space="0" w:color="auto"/>
        <w:left w:val="none" w:sz="0" w:space="0" w:color="auto"/>
        <w:bottom w:val="none" w:sz="0" w:space="0" w:color="auto"/>
        <w:right w:val="none" w:sz="0" w:space="0" w:color="auto"/>
      </w:divBdr>
    </w:div>
    <w:div w:id="1823692213">
      <w:bodyDiv w:val="1"/>
      <w:marLeft w:val="0"/>
      <w:marRight w:val="0"/>
      <w:marTop w:val="0"/>
      <w:marBottom w:val="0"/>
      <w:divBdr>
        <w:top w:val="none" w:sz="0" w:space="0" w:color="auto"/>
        <w:left w:val="none" w:sz="0" w:space="0" w:color="auto"/>
        <w:bottom w:val="none" w:sz="0" w:space="0" w:color="auto"/>
        <w:right w:val="none" w:sz="0" w:space="0" w:color="auto"/>
      </w:divBdr>
    </w:div>
    <w:div w:id="1848446483">
      <w:bodyDiv w:val="1"/>
      <w:marLeft w:val="0"/>
      <w:marRight w:val="0"/>
      <w:marTop w:val="0"/>
      <w:marBottom w:val="0"/>
      <w:divBdr>
        <w:top w:val="none" w:sz="0" w:space="0" w:color="auto"/>
        <w:left w:val="none" w:sz="0" w:space="0" w:color="auto"/>
        <w:bottom w:val="none" w:sz="0" w:space="0" w:color="auto"/>
        <w:right w:val="none" w:sz="0" w:space="0" w:color="auto"/>
      </w:divBdr>
    </w:div>
    <w:div w:id="1866282318">
      <w:bodyDiv w:val="1"/>
      <w:marLeft w:val="0"/>
      <w:marRight w:val="0"/>
      <w:marTop w:val="0"/>
      <w:marBottom w:val="0"/>
      <w:divBdr>
        <w:top w:val="none" w:sz="0" w:space="0" w:color="auto"/>
        <w:left w:val="none" w:sz="0" w:space="0" w:color="auto"/>
        <w:bottom w:val="none" w:sz="0" w:space="0" w:color="auto"/>
        <w:right w:val="none" w:sz="0" w:space="0" w:color="auto"/>
      </w:divBdr>
    </w:div>
    <w:div w:id="1882673118">
      <w:bodyDiv w:val="1"/>
      <w:marLeft w:val="0"/>
      <w:marRight w:val="0"/>
      <w:marTop w:val="0"/>
      <w:marBottom w:val="0"/>
      <w:divBdr>
        <w:top w:val="none" w:sz="0" w:space="0" w:color="auto"/>
        <w:left w:val="none" w:sz="0" w:space="0" w:color="auto"/>
        <w:bottom w:val="none" w:sz="0" w:space="0" w:color="auto"/>
        <w:right w:val="none" w:sz="0" w:space="0" w:color="auto"/>
      </w:divBdr>
    </w:div>
    <w:div w:id="1973169305">
      <w:bodyDiv w:val="1"/>
      <w:marLeft w:val="0"/>
      <w:marRight w:val="0"/>
      <w:marTop w:val="0"/>
      <w:marBottom w:val="0"/>
      <w:divBdr>
        <w:top w:val="none" w:sz="0" w:space="0" w:color="auto"/>
        <w:left w:val="none" w:sz="0" w:space="0" w:color="auto"/>
        <w:bottom w:val="none" w:sz="0" w:space="0" w:color="auto"/>
        <w:right w:val="none" w:sz="0" w:space="0" w:color="auto"/>
      </w:divBdr>
    </w:div>
    <w:div w:id="1989430430">
      <w:bodyDiv w:val="1"/>
      <w:marLeft w:val="0"/>
      <w:marRight w:val="0"/>
      <w:marTop w:val="0"/>
      <w:marBottom w:val="0"/>
      <w:divBdr>
        <w:top w:val="none" w:sz="0" w:space="0" w:color="auto"/>
        <w:left w:val="none" w:sz="0" w:space="0" w:color="auto"/>
        <w:bottom w:val="none" w:sz="0" w:space="0" w:color="auto"/>
        <w:right w:val="none" w:sz="0" w:space="0" w:color="auto"/>
      </w:divBdr>
    </w:div>
    <w:div w:id="214696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thue/nghi-quyet-109-2025-ubtvqh15-ve-thue-bao-ve-moi-truong-cho-xang-dau-mo-nhon-418038-d1.html" TargetMode="External"/><Relationship Id="rId5" Type="http://schemas.openxmlformats.org/officeDocument/2006/relationships/settings" Target="settings.xml"/><Relationship Id="rId10" Type="http://schemas.openxmlformats.org/officeDocument/2006/relationships/hyperlink" Target="https://luatvietnam.vn/doanh-nghiep/nghi-quyet-198-2025-qh15-cua-quoc-hoi-ve-mot-so-co-che-chinh-sach-dac-biet-phat-trien-kinh-te-tu-nhan-400419-d1.html" TargetMode="External"/><Relationship Id="rId4" Type="http://schemas.microsoft.com/office/2007/relationships/stylesWithEffects" Target="stylesWithEffects.xml"/><Relationship Id="rId9" Type="http://schemas.openxmlformats.org/officeDocument/2006/relationships/hyperlink" Target="https://luatvietnam.vn/dat-dai/luat-dat-dai-2024-so-31-2024-qh15-296638-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2022-01-04T00:41:00Z</cp:lastPrinted>
  <dcterms:created xsi:type="dcterms:W3CDTF">2025-12-31T03:53:00Z</dcterms:created>
  <dcterms:modified xsi:type="dcterms:W3CDTF">2025-12-31T03:53:00Z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C576C6C47910480EB7D3F8BC62670A6A_13</vt:lpwstr>
  </property>
</Properties>
</file>