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1"/>
        <w:gridCol w:w="5781"/>
      </w:tblGrid>
      <w:tr w:rsidR="001D2317" w14:paraId="3E175B41" w14:textId="77777777">
        <w:tc>
          <w:tcPr>
            <w:tcW w:w="1814" w:type="pct"/>
          </w:tcPr>
          <w:p w14:paraId="75BAC305" w14:textId="77777777" w:rsidR="001D2317" w:rsidRPr="000B195B" w:rsidRDefault="008A642D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0B195B">
              <w:rPr>
                <w:rFonts w:cs="Times New Roman"/>
                <w:b/>
                <w:sz w:val="26"/>
                <w:szCs w:val="26"/>
              </w:rPr>
              <w:t>HỘI ĐỒ</w:t>
            </w:r>
            <w:r w:rsidR="000B195B" w:rsidRPr="000B195B">
              <w:rPr>
                <w:rFonts w:cs="Times New Roman"/>
                <w:b/>
                <w:sz w:val="26"/>
                <w:szCs w:val="26"/>
              </w:rPr>
              <w:t>NG NHÂN DÂN</w:t>
            </w:r>
            <w:r w:rsidR="000B195B" w:rsidRPr="000B195B">
              <w:rPr>
                <w:rFonts w:cs="Times New Roman"/>
                <w:b/>
                <w:sz w:val="26"/>
                <w:szCs w:val="26"/>
              </w:rPr>
              <w:br/>
              <w:t>PHƯỜNG HẢI NINH</w:t>
            </w:r>
          </w:p>
          <w:p w14:paraId="18D89C31" w14:textId="77777777" w:rsidR="001D2317" w:rsidRDefault="008A642D">
            <w:pPr>
              <w:spacing w:after="0" w:line="240" w:lineRule="auto"/>
              <w:jc w:val="center"/>
              <w:rPr>
                <w:rFonts w:cs="Times New Roman"/>
                <w:b/>
                <w:sz w:val="27"/>
                <w:szCs w:val="27"/>
                <w:lang w:val="vi-VN"/>
              </w:rPr>
            </w:pPr>
            <w:r>
              <w:rPr>
                <w:rFonts w:cs="Times New Roman"/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D606923" wp14:editId="26AE615F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32384</wp:posOffset>
                      </wp:positionV>
                      <wp:extent cx="935990" cy="0"/>
                      <wp:effectExtent l="0" t="0" r="1651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359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1C64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2.5pt,2.55pt" to="116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3186" w:type="pct"/>
          </w:tcPr>
          <w:p w14:paraId="48ECC391" w14:textId="77777777" w:rsidR="001D2317" w:rsidRDefault="008A642D">
            <w:pPr>
              <w:spacing w:after="0" w:line="240" w:lineRule="auto"/>
              <w:jc w:val="center"/>
              <w:rPr>
                <w:rFonts w:cs="Times New Roman"/>
                <w:b/>
                <w:sz w:val="27"/>
                <w:szCs w:val="27"/>
                <w:lang w:val="vi-VN"/>
              </w:rPr>
            </w:pPr>
            <w:r w:rsidRPr="000B195B"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ADA4485" wp14:editId="157FEA0A">
                      <wp:simplePos x="0" y="0"/>
                      <wp:positionH relativeFrom="column">
                        <wp:posOffset>682295</wp:posOffset>
                      </wp:positionH>
                      <wp:positionV relativeFrom="paragraph">
                        <wp:posOffset>416560</wp:posOffset>
                      </wp:positionV>
                      <wp:extent cx="21640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4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6C000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3.7pt,32.8pt" to="224.1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" strokecolor="black [3040]">
                      <o:lock v:ext="edit" shapetype="f"/>
                    </v:line>
                  </w:pict>
                </mc:Fallback>
              </mc:AlternateContent>
            </w:r>
            <w:r w:rsidRPr="000B195B">
              <w:rPr>
                <w:rFonts w:cs="Times New Roman"/>
                <w:b/>
                <w:sz w:val="26"/>
                <w:szCs w:val="26"/>
                <w:lang w:val="vi-VN"/>
              </w:rPr>
              <w:t>CỘNG HÒA XÃ HỘI CHỦ NGHĨA VIỆT NAM</w:t>
            </w:r>
            <w:r w:rsidRPr="000B195B">
              <w:rPr>
                <w:rFonts w:cs="Times New Roman"/>
                <w:b/>
                <w:sz w:val="26"/>
                <w:szCs w:val="26"/>
                <w:lang w:val="vi-VN"/>
              </w:rPr>
              <w:br/>
            </w:r>
            <w:r w:rsidRPr="000B195B">
              <w:rPr>
                <w:rFonts w:cs="Times New Roman"/>
                <w:b/>
                <w:szCs w:val="28"/>
                <w:lang w:val="vi-VN"/>
              </w:rPr>
              <w:t>Độc lập - Tự do - Hạnh phúc</w:t>
            </w:r>
          </w:p>
        </w:tc>
      </w:tr>
      <w:tr w:rsidR="001D2317" w14:paraId="5ABD792D" w14:textId="77777777">
        <w:tc>
          <w:tcPr>
            <w:tcW w:w="1814" w:type="pct"/>
          </w:tcPr>
          <w:p w14:paraId="2114B4B1" w14:textId="198889F9" w:rsidR="001D2317" w:rsidRPr="000B195B" w:rsidRDefault="008A642D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0B195B">
              <w:rPr>
                <w:rFonts w:cs="Times New Roman"/>
                <w:szCs w:val="28"/>
                <w:lang w:val="vi-VN"/>
              </w:rPr>
              <w:t>Số:</w:t>
            </w:r>
            <w:r w:rsidRPr="000B195B">
              <w:rPr>
                <w:rFonts w:cs="Times New Roman"/>
                <w:szCs w:val="28"/>
              </w:rPr>
              <w:t xml:space="preserve"> </w:t>
            </w:r>
            <w:r w:rsidR="00ED1430">
              <w:rPr>
                <w:rFonts w:cs="Times New Roman"/>
                <w:szCs w:val="28"/>
                <w:lang w:val="vi-VN"/>
              </w:rPr>
              <w:t>1</w:t>
            </w:r>
            <w:r w:rsidR="00F7364A">
              <w:rPr>
                <w:rFonts w:cs="Times New Roman"/>
                <w:szCs w:val="28"/>
                <w:lang w:val="vi-VN"/>
              </w:rPr>
              <w:t>4</w:t>
            </w:r>
            <w:r w:rsidRPr="000B195B">
              <w:rPr>
                <w:rFonts w:cs="Times New Roman"/>
                <w:szCs w:val="28"/>
                <w:lang w:val="vi-VN"/>
              </w:rPr>
              <w:t>/NQ-HĐND</w:t>
            </w:r>
          </w:p>
        </w:tc>
        <w:tc>
          <w:tcPr>
            <w:tcW w:w="3186" w:type="pct"/>
          </w:tcPr>
          <w:p w14:paraId="3264A93E" w14:textId="356C23C5" w:rsidR="001D2317" w:rsidRPr="000B195B" w:rsidRDefault="000B195B">
            <w:pPr>
              <w:spacing w:after="0" w:line="240" w:lineRule="auto"/>
              <w:jc w:val="center"/>
              <w:rPr>
                <w:rFonts w:cs="Times New Roman"/>
                <w:i/>
                <w:szCs w:val="28"/>
              </w:rPr>
            </w:pPr>
            <w:r w:rsidRPr="000B195B">
              <w:rPr>
                <w:rFonts w:cs="Times New Roman"/>
                <w:i/>
                <w:szCs w:val="28"/>
              </w:rPr>
              <w:t>Hải Ninh</w:t>
            </w:r>
            <w:r w:rsidR="008A642D" w:rsidRPr="000B195B">
              <w:rPr>
                <w:rFonts w:cs="Times New Roman"/>
                <w:i/>
                <w:szCs w:val="28"/>
                <w:lang w:val="vi-VN"/>
              </w:rPr>
              <w:t xml:space="preserve">, ngày </w:t>
            </w:r>
            <w:r w:rsidR="00ED1430">
              <w:rPr>
                <w:rFonts w:cs="Times New Roman"/>
                <w:i/>
                <w:szCs w:val="28"/>
                <w:lang w:val="vi-VN"/>
              </w:rPr>
              <w:t>29</w:t>
            </w:r>
            <w:r w:rsidR="008A642D" w:rsidRPr="000B195B">
              <w:rPr>
                <w:rFonts w:cs="Times New Roman"/>
                <w:i/>
                <w:szCs w:val="28"/>
              </w:rPr>
              <w:t xml:space="preserve"> </w:t>
            </w:r>
            <w:r w:rsidRPr="000B195B">
              <w:rPr>
                <w:rFonts w:cs="Times New Roman"/>
                <w:i/>
                <w:szCs w:val="28"/>
                <w:lang w:val="vi-VN"/>
              </w:rPr>
              <w:t>tháng</w:t>
            </w:r>
            <w:r w:rsidRPr="000B195B">
              <w:rPr>
                <w:rFonts w:cs="Times New Roman"/>
                <w:i/>
                <w:szCs w:val="28"/>
              </w:rPr>
              <w:t xml:space="preserve"> </w:t>
            </w:r>
            <w:r w:rsidR="00ED1430">
              <w:rPr>
                <w:rFonts w:cs="Times New Roman"/>
                <w:i/>
                <w:szCs w:val="28"/>
                <w:lang w:val="vi-VN"/>
              </w:rPr>
              <w:t>6</w:t>
            </w:r>
            <w:r w:rsidR="008A642D" w:rsidRPr="000B195B">
              <w:rPr>
                <w:rFonts w:cs="Times New Roman"/>
                <w:i/>
                <w:szCs w:val="28"/>
                <w:lang w:val="vi-VN"/>
              </w:rPr>
              <w:t xml:space="preserve"> năm 20</w:t>
            </w:r>
            <w:r w:rsidR="006903B2">
              <w:rPr>
                <w:rFonts w:cs="Times New Roman"/>
                <w:i/>
                <w:szCs w:val="28"/>
              </w:rPr>
              <w:t>26</w:t>
            </w:r>
          </w:p>
        </w:tc>
      </w:tr>
    </w:tbl>
    <w:p w14:paraId="4508B783" w14:textId="4CD143F2" w:rsidR="001D2317" w:rsidRDefault="001D2317" w:rsidP="004171CA">
      <w:pPr>
        <w:spacing w:after="0" w:line="240" w:lineRule="auto"/>
        <w:rPr>
          <w:rFonts w:cs="Times New Roman"/>
          <w:b/>
          <w:sz w:val="10"/>
        </w:rPr>
      </w:pPr>
    </w:p>
    <w:p w14:paraId="13288251" w14:textId="77777777" w:rsidR="001D15B5" w:rsidRPr="004171CA" w:rsidRDefault="001D15B5" w:rsidP="004171CA">
      <w:pPr>
        <w:spacing w:after="0" w:line="240" w:lineRule="auto"/>
        <w:rPr>
          <w:rFonts w:cs="Times New Roman"/>
          <w:b/>
          <w:sz w:val="10"/>
        </w:rPr>
      </w:pPr>
    </w:p>
    <w:p w14:paraId="7A74E69E" w14:textId="77777777" w:rsidR="001D2317" w:rsidRDefault="008A642D" w:rsidP="0096628F">
      <w:pPr>
        <w:spacing w:after="0" w:line="240" w:lineRule="auto"/>
        <w:jc w:val="center"/>
        <w:rPr>
          <w:rFonts w:cs="Times New Roman"/>
          <w:b/>
          <w:lang w:val="vi-VN"/>
        </w:rPr>
      </w:pPr>
      <w:r>
        <w:rPr>
          <w:rFonts w:cs="Times New Roman"/>
          <w:b/>
          <w:lang w:val="vi-VN"/>
        </w:rPr>
        <w:t>NGHỊ QUYẾT</w:t>
      </w:r>
    </w:p>
    <w:p w14:paraId="7F598E09" w14:textId="0A8E734E" w:rsidR="00F7364A" w:rsidRDefault="00457D8E" w:rsidP="0096628F">
      <w:pPr>
        <w:spacing w:after="0" w:line="240" w:lineRule="auto"/>
        <w:jc w:val="center"/>
        <w:rPr>
          <w:b/>
          <w:bCs/>
          <w:spacing w:val="-2"/>
          <w:lang w:val="vi-VN"/>
        </w:rPr>
      </w:pPr>
      <w:r w:rsidRPr="00A20753">
        <w:rPr>
          <w:b/>
          <w:bCs/>
          <w:spacing w:val="-2"/>
        </w:rPr>
        <w:t xml:space="preserve">Về việc </w:t>
      </w:r>
      <w:r w:rsidR="002A5E66">
        <w:rPr>
          <w:b/>
          <w:bCs/>
          <w:spacing w:val="-2"/>
        </w:rPr>
        <w:t>điều chỉnh</w:t>
      </w:r>
      <w:r w:rsidR="00043283">
        <w:rPr>
          <w:b/>
          <w:bCs/>
          <w:spacing w:val="-2"/>
          <w:lang w:val="vi-VN"/>
        </w:rPr>
        <w:t>,</w:t>
      </w:r>
      <w:r w:rsidR="002A5E66">
        <w:rPr>
          <w:b/>
          <w:bCs/>
          <w:spacing w:val="-2"/>
        </w:rPr>
        <w:t xml:space="preserve"> </w:t>
      </w:r>
      <w:r w:rsidR="00043283" w:rsidRPr="00043283">
        <w:rPr>
          <w:b/>
          <w:bCs/>
          <w:spacing w:val="-2"/>
        </w:rPr>
        <w:t xml:space="preserve">bổ sung </w:t>
      </w:r>
      <w:r w:rsidR="00F7364A">
        <w:rPr>
          <w:b/>
          <w:bCs/>
          <w:spacing w:val="-2"/>
          <w:lang w:val="vi-VN"/>
        </w:rPr>
        <w:t xml:space="preserve">dự toán </w:t>
      </w:r>
      <w:r>
        <w:rPr>
          <w:b/>
          <w:bCs/>
          <w:spacing w:val="-2"/>
        </w:rPr>
        <w:t>thu, chi ngân sách nhà nước</w:t>
      </w:r>
      <w:r w:rsidR="002A5E66">
        <w:rPr>
          <w:b/>
          <w:bCs/>
          <w:spacing w:val="-2"/>
        </w:rPr>
        <w:t xml:space="preserve"> </w:t>
      </w:r>
    </w:p>
    <w:p w14:paraId="71C026EB" w14:textId="5E60D653" w:rsidR="00376E6A" w:rsidRPr="00E44464" w:rsidRDefault="002A5E66" w:rsidP="0096628F">
      <w:pPr>
        <w:spacing w:after="0" w:line="240" w:lineRule="auto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6 tháng cuối</w:t>
      </w:r>
      <w:r w:rsidR="00457D8E">
        <w:rPr>
          <w:b/>
          <w:bCs/>
          <w:spacing w:val="-2"/>
        </w:rPr>
        <w:t xml:space="preserve"> năm 2026</w:t>
      </w:r>
    </w:p>
    <w:p w14:paraId="73A1F862" w14:textId="49F0F558" w:rsidR="001D2317" w:rsidRPr="009A0F3D" w:rsidRDefault="00966567" w:rsidP="0096628F">
      <w:pPr>
        <w:tabs>
          <w:tab w:val="left" w:pos="4996"/>
          <w:tab w:val="left" w:pos="5134"/>
        </w:tabs>
        <w:jc w:val="left"/>
        <w:rPr>
          <w:b/>
          <w:sz w:val="18"/>
          <w:szCs w:val="28"/>
        </w:rPr>
      </w:pPr>
      <w:r>
        <w:rPr>
          <w:b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1094F" wp14:editId="35D74941">
                <wp:simplePos x="0" y="0"/>
                <wp:positionH relativeFrom="column">
                  <wp:posOffset>2467940</wp:posOffset>
                </wp:positionH>
                <wp:positionV relativeFrom="paragraph">
                  <wp:posOffset>21590</wp:posOffset>
                </wp:positionV>
                <wp:extent cx="892454" cy="0"/>
                <wp:effectExtent l="0" t="0" r="0" b="0"/>
                <wp:wrapNone/>
                <wp:docPr id="88011906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45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1977B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35pt,1.7pt" to="264.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zaAsQEAANMDAAAOAAAAZHJzL2Uyb0RvYy54bWysU8Fu2zAMvQ/YPwi6L3KCbui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" strokecolor="black [3213]"/>
            </w:pict>
          </mc:Fallback>
        </mc:AlternateContent>
      </w:r>
      <w:r w:rsidR="0096628F">
        <w:rPr>
          <w:b/>
          <w:sz w:val="18"/>
          <w:szCs w:val="28"/>
        </w:rPr>
        <w:tab/>
      </w:r>
      <w:r w:rsidR="0096628F">
        <w:rPr>
          <w:b/>
          <w:sz w:val="18"/>
          <w:szCs w:val="28"/>
        </w:rPr>
        <w:tab/>
      </w:r>
    </w:p>
    <w:p w14:paraId="27C2C0EA" w14:textId="77777777" w:rsidR="001D2317" w:rsidRDefault="001D2317">
      <w:pPr>
        <w:spacing w:after="0" w:line="240" w:lineRule="auto"/>
        <w:jc w:val="center"/>
        <w:rPr>
          <w:rFonts w:cs="Times New Roman"/>
          <w:b/>
          <w:sz w:val="14"/>
          <w:lang w:val="vi-VN"/>
        </w:rPr>
      </w:pPr>
    </w:p>
    <w:p w14:paraId="756F877A" w14:textId="77777777" w:rsidR="001D2317" w:rsidRDefault="008A642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lang w:val="vi-VN"/>
        </w:rPr>
        <w:t xml:space="preserve">HỘI ĐỒNG NHÂN DÂN </w:t>
      </w:r>
      <w:r w:rsidR="000B195B">
        <w:rPr>
          <w:rFonts w:cs="Times New Roman"/>
          <w:b/>
        </w:rPr>
        <w:t>PHƯỜNG HẢI NINH</w:t>
      </w:r>
    </w:p>
    <w:p w14:paraId="52AD558B" w14:textId="6BF1E919" w:rsidR="001D2317" w:rsidRPr="0028748E" w:rsidRDefault="00D61ECA">
      <w:pPr>
        <w:spacing w:after="0" w:line="240" w:lineRule="auto"/>
        <w:jc w:val="center"/>
        <w:rPr>
          <w:rFonts w:cs="Times New Roman"/>
          <w:b/>
          <w:lang w:val="vi-VN"/>
        </w:rPr>
      </w:pPr>
      <w:r>
        <w:rPr>
          <w:rFonts w:cs="Times New Roman"/>
          <w:b/>
          <w:lang w:val="vi-VN"/>
        </w:rPr>
        <w:t xml:space="preserve">KHÓA </w:t>
      </w:r>
      <w:r w:rsidR="0028748E">
        <w:rPr>
          <w:rFonts w:cs="Times New Roman"/>
          <w:b/>
          <w:lang w:val="vi-VN"/>
        </w:rPr>
        <w:t>I</w:t>
      </w:r>
      <w:r>
        <w:rPr>
          <w:rFonts w:cs="Times New Roman"/>
          <w:b/>
          <w:lang w:val="vi-VN"/>
        </w:rPr>
        <w:t xml:space="preserve">I, </w:t>
      </w:r>
      <w:r w:rsidR="0028748E" w:rsidRPr="0028748E">
        <w:rPr>
          <w:rFonts w:cs="Times New Roman"/>
          <w:b/>
        </w:rPr>
        <w:t xml:space="preserve">KỲ HỌP THỨ </w:t>
      </w:r>
      <w:r w:rsidR="0028748E">
        <w:rPr>
          <w:rFonts w:cs="Times New Roman"/>
          <w:b/>
          <w:lang w:val="vi-VN"/>
        </w:rPr>
        <w:t>2</w:t>
      </w:r>
    </w:p>
    <w:p w14:paraId="5EB7AA02" w14:textId="77777777" w:rsidR="001D2317" w:rsidRDefault="001D2317">
      <w:pPr>
        <w:spacing w:after="0" w:line="240" w:lineRule="auto"/>
        <w:rPr>
          <w:rFonts w:cs="Times New Roman"/>
          <w:i/>
        </w:rPr>
      </w:pPr>
    </w:p>
    <w:p w14:paraId="4701F9E0" w14:textId="77777777" w:rsidR="001D2317" w:rsidRDefault="001D2317">
      <w:pPr>
        <w:spacing w:after="0" w:line="240" w:lineRule="auto"/>
        <w:rPr>
          <w:rFonts w:cs="Times New Roman"/>
          <w:i/>
          <w:sz w:val="2"/>
        </w:rPr>
      </w:pPr>
    </w:p>
    <w:p w14:paraId="67635969" w14:textId="72949DFD" w:rsidR="0028748E" w:rsidRPr="006C0319" w:rsidRDefault="0028748E" w:rsidP="002F0D0C">
      <w:pPr>
        <w:spacing w:before="60" w:after="60" w:line="276" w:lineRule="auto"/>
        <w:ind w:firstLine="567"/>
        <w:rPr>
          <w:rFonts w:ascii="Times New Roman Italic" w:eastAsia="Calibri" w:hAnsi="Times New Roman Italic"/>
          <w:i/>
          <w:spacing w:val="-10"/>
          <w:lang w:val="vi-VN"/>
        </w:rPr>
      </w:pPr>
      <w:r w:rsidRPr="006C0319">
        <w:rPr>
          <w:rFonts w:ascii="Times New Roman Italic" w:eastAsia="Calibri" w:hAnsi="Times New Roman Italic"/>
          <w:i/>
          <w:spacing w:val="-10"/>
          <w:lang w:val="vi-VN"/>
        </w:rPr>
        <w:t>Căn cứ Luật Tổ chức chính quyền địa phương số 72/2025/QH15</w:t>
      </w:r>
      <w:r w:rsidR="007D53A0" w:rsidRPr="006C0319">
        <w:rPr>
          <w:rFonts w:ascii="Times New Roman Italic" w:eastAsia="Calibri" w:hAnsi="Times New Roman Italic"/>
          <w:i/>
          <w:spacing w:val="-10"/>
        </w:rPr>
        <w:t xml:space="preserve"> ngày 16/6/202</w:t>
      </w:r>
      <w:r w:rsidR="00DC5D35" w:rsidRPr="00DC5D35">
        <w:rPr>
          <w:rFonts w:eastAsia="Calibri" w:cs="Times New Roman"/>
          <w:i/>
          <w:spacing w:val="-10"/>
          <w:lang w:val="vi-VN"/>
        </w:rPr>
        <w:t>5</w:t>
      </w:r>
      <w:r w:rsidRPr="006C0319">
        <w:rPr>
          <w:rFonts w:ascii="Times New Roman Italic" w:eastAsia="Calibri" w:hAnsi="Times New Roman Italic"/>
          <w:i/>
          <w:spacing w:val="-10"/>
          <w:lang w:val="vi-VN"/>
        </w:rPr>
        <w:t xml:space="preserve">; </w:t>
      </w:r>
    </w:p>
    <w:p w14:paraId="59BFC077" w14:textId="4DB3CE98" w:rsidR="00E44464" w:rsidRDefault="0028748E" w:rsidP="002F0D0C">
      <w:pPr>
        <w:spacing w:before="60" w:after="60" w:line="276" w:lineRule="auto"/>
        <w:ind w:firstLine="567"/>
        <w:rPr>
          <w:rFonts w:eastAsia="Calibri"/>
          <w:i/>
          <w:lang w:val="vi-VN"/>
        </w:rPr>
      </w:pPr>
      <w:r w:rsidRPr="0028748E">
        <w:rPr>
          <w:rFonts w:eastAsia="Calibri"/>
          <w:i/>
          <w:lang w:val="vi-VN"/>
        </w:rPr>
        <w:t xml:space="preserve">Căn cứ Luật Ngân sách </w:t>
      </w:r>
      <w:r w:rsidR="00043283">
        <w:rPr>
          <w:rFonts w:eastAsia="Calibri"/>
          <w:i/>
          <w:lang w:val="vi-VN"/>
        </w:rPr>
        <w:t>n</w:t>
      </w:r>
      <w:r w:rsidRPr="0028748E">
        <w:rPr>
          <w:rFonts w:eastAsia="Calibri"/>
          <w:i/>
          <w:lang w:val="vi-VN"/>
        </w:rPr>
        <w:t xml:space="preserve">hà nước số 89/2025/QH15; </w:t>
      </w:r>
      <w:r w:rsidR="00E44464" w:rsidRPr="00E44464">
        <w:rPr>
          <w:rFonts w:eastAsia="Calibri"/>
          <w:i/>
          <w:lang w:val="nl-NL"/>
        </w:rPr>
        <w:t>Luật sửa đ</w:t>
      </w:r>
      <w:r w:rsidR="00043283">
        <w:rPr>
          <w:rFonts w:eastAsia="Calibri"/>
          <w:i/>
          <w:lang w:val="vi-VN"/>
        </w:rPr>
        <w:t>ổ</w:t>
      </w:r>
      <w:r w:rsidR="00E44464" w:rsidRPr="00E44464">
        <w:rPr>
          <w:rFonts w:eastAsia="Calibri"/>
          <w:i/>
          <w:lang w:val="nl-NL"/>
        </w:rPr>
        <w:t xml:space="preserve">i, bổ sung một số điều của Luật Chứng khoán, Luật Kế toán, Luật Kiểm toán độc lập, Luật Ngân sách nhà nước, Luật Quản lý, sử dụng tài sản công, Luật </w:t>
      </w:r>
      <w:r w:rsidR="00802D01">
        <w:rPr>
          <w:rFonts w:eastAsia="Calibri"/>
          <w:i/>
          <w:lang w:val="vi-VN"/>
        </w:rPr>
        <w:t>Q</w:t>
      </w:r>
      <w:r w:rsidR="00E44464" w:rsidRPr="00E44464">
        <w:rPr>
          <w:rFonts w:eastAsia="Calibri"/>
          <w:i/>
          <w:lang w:val="nl-NL"/>
        </w:rPr>
        <w:t xml:space="preserve">uản lý thuế, Luật </w:t>
      </w:r>
      <w:r w:rsidR="00802D01">
        <w:rPr>
          <w:rFonts w:eastAsia="Calibri"/>
          <w:i/>
          <w:lang w:val="vi-VN"/>
        </w:rPr>
        <w:t>T</w:t>
      </w:r>
      <w:r w:rsidR="00E44464" w:rsidRPr="00E44464">
        <w:rPr>
          <w:rFonts w:eastAsia="Calibri"/>
          <w:i/>
          <w:lang w:val="nl-NL"/>
        </w:rPr>
        <w:t>h</w:t>
      </w:r>
      <w:r>
        <w:rPr>
          <w:rFonts w:eastAsia="Calibri"/>
          <w:i/>
          <w:lang w:val="vi-VN"/>
        </w:rPr>
        <w:t>uế</w:t>
      </w:r>
      <w:r w:rsidR="00E44464" w:rsidRPr="00E44464">
        <w:rPr>
          <w:rFonts w:eastAsia="Calibri"/>
          <w:i/>
          <w:lang w:val="nl-NL"/>
        </w:rPr>
        <w:t xml:space="preserve"> thu nhập cá nhân, Luật D</w:t>
      </w:r>
      <w:r w:rsidR="00802D01">
        <w:rPr>
          <w:rFonts w:eastAsia="Calibri"/>
          <w:i/>
          <w:lang w:val="vi-VN"/>
        </w:rPr>
        <w:t>ự</w:t>
      </w:r>
      <w:r w:rsidR="00E44464" w:rsidRPr="00E44464">
        <w:rPr>
          <w:rFonts w:eastAsia="Calibri"/>
          <w:i/>
          <w:lang w:val="nl-NL"/>
        </w:rPr>
        <w:t xml:space="preserve"> trữ </w:t>
      </w:r>
      <w:r w:rsidR="00802D01">
        <w:rPr>
          <w:rFonts w:eastAsia="Calibri"/>
          <w:i/>
          <w:lang w:val="vi-VN"/>
        </w:rPr>
        <w:t>q</w:t>
      </w:r>
      <w:r w:rsidR="00E44464" w:rsidRPr="00E44464">
        <w:rPr>
          <w:rFonts w:eastAsia="Calibri"/>
          <w:i/>
          <w:lang w:val="nl-NL"/>
        </w:rPr>
        <w:t xml:space="preserve">uốc gia, Luật </w:t>
      </w:r>
      <w:r w:rsidR="00802D01">
        <w:rPr>
          <w:rFonts w:eastAsia="Calibri"/>
          <w:i/>
          <w:lang w:val="vi-VN"/>
        </w:rPr>
        <w:t>X</w:t>
      </w:r>
      <w:r w:rsidR="00E44464" w:rsidRPr="00E44464">
        <w:rPr>
          <w:rFonts w:eastAsia="Calibri"/>
          <w:i/>
          <w:lang w:val="nl-NL"/>
        </w:rPr>
        <w:t xml:space="preserve">ử lý vi phạm hành chính ngày 29/11/2024; </w:t>
      </w:r>
    </w:p>
    <w:p w14:paraId="3203D717" w14:textId="053C45E6" w:rsidR="0028748E" w:rsidRPr="002F0D0C" w:rsidRDefault="0028748E" w:rsidP="002F0D0C">
      <w:pPr>
        <w:spacing w:before="60" w:after="60" w:line="276" w:lineRule="auto"/>
        <w:ind w:firstLine="567"/>
        <w:rPr>
          <w:rFonts w:ascii="Times New Roman Italic" w:eastAsia="Calibri" w:hAnsi="Times New Roman Italic"/>
          <w:i/>
          <w:spacing w:val="-8"/>
          <w:lang w:val="vi-VN"/>
        </w:rPr>
      </w:pPr>
      <w:r w:rsidRPr="002F0D0C">
        <w:rPr>
          <w:rFonts w:ascii="Times New Roman Italic" w:eastAsia="Calibri" w:hAnsi="Times New Roman Italic"/>
          <w:i/>
          <w:spacing w:val="-8"/>
          <w:lang w:val="vi-VN"/>
        </w:rPr>
        <w:t>Căn cứ Nghị định số 73/2026/NĐ-CP ngày 10</w:t>
      </w:r>
      <w:r w:rsidR="00802D01" w:rsidRPr="002F0D0C">
        <w:rPr>
          <w:rFonts w:ascii="Times New Roman Italic" w:eastAsia="Calibri" w:hAnsi="Times New Roman Italic"/>
          <w:i/>
          <w:spacing w:val="-8"/>
          <w:lang w:val="vi-VN"/>
        </w:rPr>
        <w:t xml:space="preserve"> tháng 3 năm </w:t>
      </w:r>
      <w:r w:rsidRPr="002F0D0C">
        <w:rPr>
          <w:rFonts w:ascii="Times New Roman Italic" w:eastAsia="Calibri" w:hAnsi="Times New Roman Italic"/>
          <w:i/>
          <w:spacing w:val="-8"/>
          <w:lang w:val="vi-VN"/>
        </w:rPr>
        <w:t xml:space="preserve">2026 của Chính phủ quy định chi tiết và hướng dẫn thi hành một số điều của </w:t>
      </w:r>
      <w:r w:rsidR="00043283" w:rsidRPr="002F0D0C">
        <w:rPr>
          <w:rFonts w:ascii="Times New Roman Italic" w:eastAsia="Calibri" w:hAnsi="Times New Roman Italic"/>
          <w:i/>
          <w:spacing w:val="-8"/>
          <w:lang w:val="vi-VN"/>
        </w:rPr>
        <w:t>L</w:t>
      </w:r>
      <w:r w:rsidRPr="002F0D0C">
        <w:rPr>
          <w:rFonts w:ascii="Times New Roman Italic" w:eastAsia="Calibri" w:hAnsi="Times New Roman Italic"/>
          <w:i/>
          <w:spacing w:val="-8"/>
          <w:lang w:val="vi-VN"/>
        </w:rPr>
        <w:t xml:space="preserve">uật </w:t>
      </w:r>
      <w:r w:rsidR="00043283" w:rsidRPr="002F0D0C">
        <w:rPr>
          <w:rFonts w:ascii="Times New Roman Italic" w:eastAsia="Calibri" w:hAnsi="Times New Roman Italic"/>
          <w:i/>
          <w:spacing w:val="-8"/>
          <w:lang w:val="vi-VN"/>
        </w:rPr>
        <w:t>N</w:t>
      </w:r>
      <w:r w:rsidRPr="002F0D0C">
        <w:rPr>
          <w:rFonts w:ascii="Times New Roman Italic" w:eastAsia="Calibri" w:hAnsi="Times New Roman Italic"/>
          <w:i/>
          <w:spacing w:val="-8"/>
          <w:lang w:val="vi-VN"/>
        </w:rPr>
        <w:t>g</w:t>
      </w:r>
      <w:r w:rsidR="00043283" w:rsidRPr="002F0D0C">
        <w:rPr>
          <w:rFonts w:ascii="Times New Roman Italic" w:eastAsia="Calibri" w:hAnsi="Times New Roman Italic"/>
          <w:i/>
          <w:spacing w:val="-8"/>
          <w:lang w:val="vi-VN"/>
        </w:rPr>
        <w:t>â</w:t>
      </w:r>
      <w:r w:rsidRPr="002F0D0C">
        <w:rPr>
          <w:rFonts w:ascii="Times New Roman Italic" w:eastAsia="Calibri" w:hAnsi="Times New Roman Italic"/>
          <w:i/>
          <w:spacing w:val="-8"/>
          <w:lang w:val="vi-VN"/>
        </w:rPr>
        <w:t>n sách nhà nước;</w:t>
      </w:r>
    </w:p>
    <w:p w14:paraId="3B4C5B53" w14:textId="29488C5F" w:rsidR="0028748E" w:rsidRPr="0028748E" w:rsidRDefault="0028748E" w:rsidP="002F0D0C">
      <w:pPr>
        <w:spacing w:before="60" w:after="60" w:line="276" w:lineRule="auto"/>
        <w:ind w:firstLine="567"/>
        <w:rPr>
          <w:rFonts w:eastAsia="Calibri"/>
          <w:i/>
          <w:lang w:val="vi-VN"/>
        </w:rPr>
      </w:pPr>
      <w:r w:rsidRPr="0028748E">
        <w:rPr>
          <w:rFonts w:eastAsia="Calibri"/>
          <w:i/>
          <w:lang w:val="vi-VN"/>
        </w:rPr>
        <w:t>Căn cứ Thông tư số 26/2026/TT-BTC ngày 25</w:t>
      </w:r>
      <w:r w:rsidR="00802D01">
        <w:rPr>
          <w:rFonts w:eastAsia="Calibri"/>
          <w:i/>
          <w:lang w:val="vi-VN"/>
        </w:rPr>
        <w:t xml:space="preserve"> tháng </w:t>
      </w:r>
      <w:r w:rsidRPr="0028748E">
        <w:rPr>
          <w:rFonts w:eastAsia="Calibri"/>
          <w:i/>
          <w:lang w:val="vi-VN"/>
        </w:rPr>
        <w:t>3</w:t>
      </w:r>
      <w:r w:rsidR="00802D01">
        <w:rPr>
          <w:rFonts w:eastAsia="Calibri"/>
          <w:i/>
          <w:lang w:val="vi-VN"/>
        </w:rPr>
        <w:t xml:space="preserve"> năm </w:t>
      </w:r>
      <w:r w:rsidRPr="0028748E">
        <w:rPr>
          <w:rFonts w:eastAsia="Calibri"/>
          <w:i/>
          <w:lang w:val="vi-VN"/>
        </w:rPr>
        <w:t>2026 quy định chi tiết và hướng dẫn thi hành một số điều của Nghị định số 73/2026/NĐ-CP ngày 10</w:t>
      </w:r>
      <w:r w:rsidR="00802D01">
        <w:rPr>
          <w:rFonts w:eastAsia="Calibri"/>
          <w:i/>
          <w:lang w:val="vi-VN"/>
        </w:rPr>
        <w:t xml:space="preserve"> tháng </w:t>
      </w:r>
      <w:r w:rsidRPr="0028748E">
        <w:rPr>
          <w:rFonts w:eastAsia="Calibri"/>
          <w:i/>
          <w:lang w:val="vi-VN"/>
        </w:rPr>
        <w:t>3</w:t>
      </w:r>
      <w:r w:rsidR="00802D01">
        <w:rPr>
          <w:rFonts w:eastAsia="Calibri"/>
          <w:i/>
          <w:lang w:val="vi-VN"/>
        </w:rPr>
        <w:t xml:space="preserve"> năm </w:t>
      </w:r>
      <w:r w:rsidRPr="0028748E">
        <w:rPr>
          <w:rFonts w:eastAsia="Calibri"/>
          <w:i/>
          <w:lang w:val="vi-VN"/>
        </w:rPr>
        <w:t xml:space="preserve">2026 của Chính phủ quy định chi tiết và hướng dẫn thi hành một số điều của Luật </w:t>
      </w:r>
      <w:r w:rsidR="00043283">
        <w:rPr>
          <w:rFonts w:eastAsia="Calibri"/>
          <w:i/>
          <w:lang w:val="vi-VN"/>
        </w:rPr>
        <w:t>N</w:t>
      </w:r>
      <w:r w:rsidRPr="0028748E">
        <w:rPr>
          <w:rFonts w:eastAsia="Calibri"/>
          <w:i/>
          <w:lang w:val="vi-VN"/>
        </w:rPr>
        <w:t>gân sách nhà nước;</w:t>
      </w:r>
    </w:p>
    <w:p w14:paraId="7C077A35" w14:textId="00393DB4" w:rsidR="0035270B" w:rsidRDefault="0035270B" w:rsidP="002F0D0C">
      <w:pPr>
        <w:spacing w:before="60" w:after="60" w:line="276" w:lineRule="auto"/>
        <w:ind w:firstLine="567"/>
        <w:rPr>
          <w:rFonts w:eastAsia="Calibri" w:cs="Times New Roman"/>
          <w:i/>
          <w:szCs w:val="28"/>
          <w:lang w:val="vi-VN"/>
        </w:rPr>
      </w:pPr>
      <w:r w:rsidRPr="0035270B">
        <w:rPr>
          <w:rFonts w:eastAsia="Calibri" w:cs="Times New Roman"/>
          <w:i/>
          <w:szCs w:val="28"/>
          <w:lang w:val="vi-VN"/>
        </w:rPr>
        <w:t xml:space="preserve">Căn cứ Nghị quyết số 168/2025/NQ-HĐND ngày 10 tháng 12 năm 2025 của Hội đồng nhân dân tỉnh Hà Tĩnh về việc kéo dài thời kỳ ổn định ngân sách giai đoạn 2022-2025 sang năm 2026; sửa đổi, bổ sung một số nội dung của quy định về phân cấp nguồn thu, tỷ lệ phần trăm (%) phân chia nguồn thu và phân cấp nhiệm vụ chi các cấp ngân sách địa </w:t>
      </w:r>
      <w:r w:rsidRPr="00D11D1B">
        <w:rPr>
          <w:rFonts w:eastAsia="Calibri" w:cs="Times New Roman"/>
          <w:i/>
          <w:szCs w:val="28"/>
          <w:lang w:val="vi-VN"/>
        </w:rPr>
        <w:t>phương giai đoạn</w:t>
      </w:r>
      <w:r w:rsidRPr="0035270B">
        <w:rPr>
          <w:rFonts w:eastAsia="Calibri" w:cs="Times New Roman"/>
          <w:i/>
          <w:szCs w:val="28"/>
          <w:lang w:val="vi-VN"/>
        </w:rPr>
        <w:t xml:space="preserve"> 2022-2025; nguyên tắc, tiêu chí và định mức phân bổ chi thường xuyên ngân sách địa phương năm 2022;</w:t>
      </w:r>
    </w:p>
    <w:p w14:paraId="38BF1EA2" w14:textId="3BE3D912" w:rsidR="006903B2" w:rsidRPr="00817BF8" w:rsidRDefault="006903B2" w:rsidP="002F0D0C">
      <w:pPr>
        <w:spacing w:before="60" w:after="60" w:line="276" w:lineRule="auto"/>
        <w:ind w:firstLine="567"/>
        <w:rPr>
          <w:i/>
          <w:szCs w:val="28"/>
          <w:lang w:val="nl-NL"/>
        </w:rPr>
      </w:pPr>
      <w:r w:rsidRPr="00817BF8">
        <w:rPr>
          <w:i/>
          <w:szCs w:val="28"/>
          <w:lang w:val="nl-NL"/>
        </w:rPr>
        <w:t>Căn cứ Nghị quyết số 294/NQ-HĐND ngày 10</w:t>
      </w:r>
      <w:r w:rsidR="0035270B">
        <w:rPr>
          <w:i/>
          <w:szCs w:val="28"/>
          <w:lang w:val="vi-VN"/>
        </w:rPr>
        <w:t xml:space="preserve"> tháng </w:t>
      </w:r>
      <w:r w:rsidRPr="00817BF8">
        <w:rPr>
          <w:i/>
          <w:szCs w:val="28"/>
          <w:lang w:val="nl-NL"/>
        </w:rPr>
        <w:t>12</w:t>
      </w:r>
      <w:r w:rsidR="0035270B">
        <w:rPr>
          <w:i/>
          <w:szCs w:val="28"/>
          <w:lang w:val="vi-VN"/>
        </w:rPr>
        <w:t xml:space="preserve"> năm </w:t>
      </w:r>
      <w:r w:rsidRPr="00817BF8">
        <w:rPr>
          <w:i/>
          <w:szCs w:val="28"/>
          <w:lang w:val="nl-NL"/>
        </w:rPr>
        <w:t xml:space="preserve">2025 của </w:t>
      </w:r>
      <w:r w:rsidR="0035270B">
        <w:rPr>
          <w:i/>
          <w:szCs w:val="28"/>
          <w:lang w:val="vi-VN"/>
        </w:rPr>
        <w:t>Hội đồng nhân dân</w:t>
      </w:r>
      <w:r w:rsidRPr="00817BF8">
        <w:rPr>
          <w:i/>
          <w:szCs w:val="28"/>
          <w:lang w:val="nl-NL"/>
        </w:rPr>
        <w:t xml:space="preserve"> tỉnh</w:t>
      </w:r>
      <w:r w:rsidR="0035270B">
        <w:rPr>
          <w:i/>
          <w:szCs w:val="28"/>
          <w:lang w:val="vi-VN"/>
        </w:rPr>
        <w:t xml:space="preserve"> Hà Tĩnh</w:t>
      </w:r>
      <w:r w:rsidRPr="00817BF8">
        <w:rPr>
          <w:i/>
          <w:szCs w:val="28"/>
          <w:lang w:val="nl-NL"/>
        </w:rPr>
        <w:t xml:space="preserve"> về phân bổ và giao dự toán thu, chi </w:t>
      </w:r>
      <w:r w:rsidR="00043283">
        <w:rPr>
          <w:i/>
          <w:szCs w:val="28"/>
          <w:lang w:val="vi-VN"/>
        </w:rPr>
        <w:t>N</w:t>
      </w:r>
      <w:r w:rsidRPr="00817BF8">
        <w:rPr>
          <w:i/>
          <w:szCs w:val="28"/>
          <w:lang w:val="nl-NL"/>
        </w:rPr>
        <w:t>gân sách nhà nước năm 2026;</w:t>
      </w:r>
    </w:p>
    <w:p w14:paraId="1706F217" w14:textId="0ED4144D" w:rsidR="006903B2" w:rsidRPr="00817BF8" w:rsidRDefault="006903B2" w:rsidP="002F0D0C">
      <w:pPr>
        <w:spacing w:before="60" w:after="60" w:line="276" w:lineRule="auto"/>
        <w:ind w:firstLine="567"/>
        <w:rPr>
          <w:i/>
          <w:szCs w:val="28"/>
          <w:lang w:val="nl-NL"/>
        </w:rPr>
      </w:pPr>
      <w:r w:rsidRPr="00817BF8">
        <w:rPr>
          <w:i/>
          <w:szCs w:val="28"/>
          <w:lang w:val="nl-NL"/>
        </w:rPr>
        <w:t>Căn cứ Quyết định số 3164/QĐ-UBND ngày 15</w:t>
      </w:r>
      <w:r w:rsidR="0035270B">
        <w:rPr>
          <w:i/>
          <w:szCs w:val="28"/>
          <w:lang w:val="vi-VN"/>
        </w:rPr>
        <w:t xml:space="preserve"> tháng </w:t>
      </w:r>
      <w:r w:rsidRPr="00817BF8">
        <w:rPr>
          <w:i/>
          <w:szCs w:val="28"/>
          <w:lang w:val="nl-NL"/>
        </w:rPr>
        <w:t>12</w:t>
      </w:r>
      <w:r w:rsidR="0035270B">
        <w:rPr>
          <w:i/>
          <w:szCs w:val="28"/>
          <w:lang w:val="vi-VN"/>
        </w:rPr>
        <w:t xml:space="preserve"> tháng </w:t>
      </w:r>
      <w:r w:rsidRPr="00817BF8">
        <w:rPr>
          <w:i/>
          <w:szCs w:val="28"/>
          <w:lang w:val="nl-NL"/>
        </w:rPr>
        <w:t xml:space="preserve">2025 của </w:t>
      </w:r>
      <w:r w:rsidR="0035270B">
        <w:rPr>
          <w:i/>
          <w:szCs w:val="28"/>
          <w:lang w:val="vi-VN"/>
        </w:rPr>
        <w:t>Ủy ban nhân dân</w:t>
      </w:r>
      <w:r w:rsidRPr="00817BF8">
        <w:rPr>
          <w:i/>
          <w:szCs w:val="28"/>
          <w:lang w:val="nl-NL"/>
        </w:rPr>
        <w:t xml:space="preserve"> tỉnh </w:t>
      </w:r>
      <w:r w:rsidR="0035270B">
        <w:rPr>
          <w:i/>
          <w:szCs w:val="28"/>
          <w:lang w:val="vi-VN"/>
        </w:rPr>
        <w:t xml:space="preserve">Hà Tĩnh </w:t>
      </w:r>
      <w:r w:rsidRPr="00817BF8">
        <w:rPr>
          <w:i/>
          <w:szCs w:val="28"/>
          <w:lang w:val="nl-NL"/>
        </w:rPr>
        <w:t xml:space="preserve">về việc giao dự toán thu, chi </w:t>
      </w:r>
      <w:r w:rsidR="00043283">
        <w:rPr>
          <w:i/>
          <w:szCs w:val="28"/>
          <w:lang w:val="vi-VN"/>
        </w:rPr>
        <w:t>N</w:t>
      </w:r>
      <w:r w:rsidRPr="00817BF8">
        <w:rPr>
          <w:i/>
          <w:szCs w:val="28"/>
          <w:lang w:val="nl-NL"/>
        </w:rPr>
        <w:t>gân sách nhà nước năm 2026 cho các xã, phường;</w:t>
      </w:r>
    </w:p>
    <w:p w14:paraId="0082098B" w14:textId="3A1D2B92" w:rsidR="006903B2" w:rsidRPr="00256E7E" w:rsidRDefault="006903B2" w:rsidP="00256E7E">
      <w:pPr>
        <w:shd w:val="clear" w:color="auto" w:fill="FFFFFF"/>
        <w:spacing w:line="264" w:lineRule="auto"/>
        <w:ind w:firstLine="567"/>
        <w:rPr>
          <w:rFonts w:cs="Times New Roman"/>
          <w:i/>
          <w:szCs w:val="28"/>
        </w:rPr>
      </w:pPr>
      <w:r w:rsidRPr="00256E7E">
        <w:rPr>
          <w:rFonts w:cs="Times New Roman"/>
          <w:i/>
          <w:szCs w:val="28"/>
        </w:rPr>
        <w:t xml:space="preserve">Căn cứ </w:t>
      </w:r>
      <w:r w:rsidR="002F0D0C" w:rsidRPr="00256E7E">
        <w:rPr>
          <w:rFonts w:cs="Times New Roman"/>
          <w:i/>
          <w:szCs w:val="28"/>
        </w:rPr>
        <w:t xml:space="preserve">các </w:t>
      </w:r>
      <w:r w:rsidRPr="00256E7E">
        <w:rPr>
          <w:rFonts w:cs="Times New Roman"/>
          <w:i/>
          <w:szCs w:val="28"/>
        </w:rPr>
        <w:t xml:space="preserve">Nghị quyết </w:t>
      </w:r>
      <w:r w:rsidR="00256E7E">
        <w:rPr>
          <w:rFonts w:cs="Times New Roman"/>
          <w:i/>
          <w:szCs w:val="28"/>
        </w:rPr>
        <w:t xml:space="preserve">của Hội đồng nhân dân phường: </w:t>
      </w:r>
      <w:r w:rsidR="00DC5D35">
        <w:rPr>
          <w:rFonts w:cs="Times New Roman"/>
          <w:i/>
          <w:szCs w:val="28"/>
          <w:lang w:val="vi-VN"/>
        </w:rPr>
        <w:t>S</w:t>
      </w:r>
      <w:r w:rsidRPr="00256E7E">
        <w:rPr>
          <w:rFonts w:cs="Times New Roman"/>
          <w:i/>
          <w:szCs w:val="28"/>
        </w:rPr>
        <w:t>ố</w:t>
      </w:r>
      <w:r w:rsidR="0035270B" w:rsidRPr="00256E7E">
        <w:rPr>
          <w:rFonts w:cs="Times New Roman"/>
          <w:i/>
          <w:szCs w:val="28"/>
        </w:rPr>
        <w:t xml:space="preserve"> </w:t>
      </w:r>
      <w:r w:rsidRPr="00256E7E">
        <w:rPr>
          <w:rFonts w:cs="Times New Roman"/>
          <w:i/>
          <w:szCs w:val="28"/>
        </w:rPr>
        <w:t>17/NQ-HĐND ngày 26</w:t>
      </w:r>
      <w:r w:rsidR="0035270B" w:rsidRPr="00256E7E">
        <w:rPr>
          <w:rFonts w:cs="Times New Roman"/>
          <w:i/>
          <w:szCs w:val="28"/>
        </w:rPr>
        <w:t xml:space="preserve"> tháng </w:t>
      </w:r>
      <w:r w:rsidRPr="00256E7E">
        <w:rPr>
          <w:rFonts w:cs="Times New Roman"/>
          <w:i/>
          <w:szCs w:val="28"/>
        </w:rPr>
        <w:t>12</w:t>
      </w:r>
      <w:r w:rsidR="0035270B" w:rsidRPr="00256E7E">
        <w:rPr>
          <w:rFonts w:cs="Times New Roman"/>
          <w:i/>
          <w:szCs w:val="28"/>
        </w:rPr>
        <w:t xml:space="preserve"> năm </w:t>
      </w:r>
      <w:r w:rsidRPr="00256E7E">
        <w:rPr>
          <w:rFonts w:cs="Times New Roman"/>
          <w:i/>
          <w:szCs w:val="28"/>
        </w:rPr>
        <w:t xml:space="preserve">2025 về </w:t>
      </w:r>
      <w:r w:rsidR="00E76CDB" w:rsidRPr="00256E7E">
        <w:rPr>
          <w:rFonts w:cs="Times New Roman"/>
          <w:i/>
          <w:szCs w:val="28"/>
        </w:rPr>
        <w:t xml:space="preserve">phân bổ và </w:t>
      </w:r>
      <w:r w:rsidRPr="00256E7E">
        <w:rPr>
          <w:rFonts w:cs="Times New Roman"/>
          <w:i/>
          <w:szCs w:val="28"/>
        </w:rPr>
        <w:t>giao dự toán thu</w:t>
      </w:r>
      <w:r w:rsidR="0035270B" w:rsidRPr="00256E7E">
        <w:rPr>
          <w:rFonts w:cs="Times New Roman"/>
          <w:i/>
          <w:szCs w:val="28"/>
        </w:rPr>
        <w:t>,</w:t>
      </w:r>
      <w:r w:rsidRPr="00256E7E">
        <w:rPr>
          <w:rFonts w:cs="Times New Roman"/>
          <w:i/>
          <w:szCs w:val="28"/>
        </w:rPr>
        <w:t xml:space="preserve"> chi </w:t>
      </w:r>
      <w:r w:rsidR="00043283" w:rsidRPr="00256E7E">
        <w:rPr>
          <w:rFonts w:cs="Times New Roman"/>
          <w:i/>
          <w:szCs w:val="28"/>
        </w:rPr>
        <w:t>N</w:t>
      </w:r>
      <w:r w:rsidRPr="00256E7E">
        <w:rPr>
          <w:rFonts w:cs="Times New Roman"/>
          <w:i/>
          <w:szCs w:val="28"/>
        </w:rPr>
        <w:t xml:space="preserve">gân sách </w:t>
      </w:r>
      <w:r w:rsidR="00E76CDB" w:rsidRPr="00256E7E">
        <w:rPr>
          <w:rFonts w:cs="Times New Roman"/>
          <w:i/>
          <w:szCs w:val="28"/>
        </w:rPr>
        <w:t xml:space="preserve">nhà nước </w:t>
      </w:r>
      <w:r w:rsidRPr="00256E7E">
        <w:rPr>
          <w:rFonts w:cs="Times New Roman"/>
          <w:i/>
          <w:szCs w:val="28"/>
        </w:rPr>
        <w:t>năm 2026</w:t>
      </w:r>
      <w:r w:rsidR="002F0D0C" w:rsidRPr="00256E7E">
        <w:rPr>
          <w:rFonts w:cs="Times New Roman"/>
          <w:i/>
          <w:szCs w:val="28"/>
        </w:rPr>
        <w:t xml:space="preserve"> và số 09/NQ-HĐND ngày </w:t>
      </w:r>
      <w:r w:rsidR="00256E7E" w:rsidRPr="00256E7E">
        <w:rPr>
          <w:rFonts w:cs="Times New Roman"/>
          <w:i/>
          <w:szCs w:val="28"/>
        </w:rPr>
        <w:t>30/3/2026 về</w:t>
      </w:r>
      <w:r w:rsidR="00D157D8">
        <w:rPr>
          <w:rFonts w:cs="Times New Roman"/>
          <w:i/>
          <w:szCs w:val="28"/>
        </w:rPr>
        <w:t xml:space="preserve"> đ</w:t>
      </w:r>
      <w:r w:rsidR="00256E7E" w:rsidRPr="00256E7E">
        <w:rPr>
          <w:rFonts w:cs="Times New Roman"/>
          <w:i/>
          <w:szCs w:val="28"/>
        </w:rPr>
        <w:t xml:space="preserve">iều chỉnh kế hoạch vốn </w:t>
      </w:r>
      <w:r w:rsidR="00256E7E" w:rsidRPr="00256E7E">
        <w:rPr>
          <w:rFonts w:cs="Times New Roman"/>
          <w:i/>
          <w:szCs w:val="28"/>
        </w:rPr>
        <w:lastRenderedPageBreak/>
        <w:t xml:space="preserve">đầu tư phát triển năm 2026 tại Nghị quyết số 17/NQ-HĐND ngày 26/12/2025 của HĐND phường Hải Ninh </w:t>
      </w:r>
      <w:r w:rsidRPr="00256E7E">
        <w:rPr>
          <w:rFonts w:cs="Times New Roman"/>
          <w:i/>
          <w:szCs w:val="28"/>
        </w:rPr>
        <w:t xml:space="preserve">; </w:t>
      </w:r>
    </w:p>
    <w:p w14:paraId="0B737D4D" w14:textId="24E47AFD" w:rsidR="00C1009F" w:rsidRPr="00026A3D" w:rsidRDefault="0028748E" w:rsidP="002F0D0C">
      <w:pPr>
        <w:spacing w:before="60" w:after="60" w:line="276" w:lineRule="auto"/>
        <w:ind w:firstLine="567"/>
        <w:rPr>
          <w:rFonts w:cs="Times New Roman"/>
          <w:b/>
          <w:bCs/>
          <w:i/>
          <w:spacing w:val="-2"/>
          <w:lang w:val="vi-VN"/>
        </w:rPr>
      </w:pPr>
      <w:r>
        <w:rPr>
          <w:rFonts w:cs="Times New Roman"/>
          <w:i/>
          <w:szCs w:val="28"/>
          <w:lang w:val="vi-VN"/>
        </w:rPr>
        <w:t>X</w:t>
      </w:r>
      <w:r w:rsidR="00C1009F" w:rsidRPr="00E44464">
        <w:rPr>
          <w:rFonts w:cs="Times New Roman"/>
          <w:i/>
          <w:szCs w:val="28"/>
        </w:rPr>
        <w:t xml:space="preserve">ét Tờ trình </w:t>
      </w:r>
      <w:r w:rsidR="00C1009F" w:rsidRPr="00026A3D">
        <w:rPr>
          <w:rFonts w:cs="Times New Roman"/>
          <w:i/>
          <w:color w:val="000000" w:themeColor="text1"/>
          <w:szCs w:val="28"/>
        </w:rPr>
        <w:t>số</w:t>
      </w:r>
      <w:r w:rsidR="00E44464" w:rsidRPr="00026A3D">
        <w:rPr>
          <w:rFonts w:cs="Times New Roman"/>
          <w:i/>
          <w:color w:val="000000" w:themeColor="text1"/>
          <w:szCs w:val="28"/>
        </w:rPr>
        <w:t xml:space="preserve"> </w:t>
      </w:r>
      <w:r w:rsidR="009A1F3A" w:rsidRPr="00026A3D">
        <w:rPr>
          <w:rFonts w:cs="Times New Roman"/>
          <w:i/>
          <w:color w:val="000000" w:themeColor="text1"/>
          <w:szCs w:val="28"/>
        </w:rPr>
        <w:t>4</w:t>
      </w:r>
      <w:r w:rsidR="00026A3D" w:rsidRPr="00026A3D">
        <w:rPr>
          <w:rFonts w:cs="Times New Roman"/>
          <w:i/>
          <w:color w:val="000000" w:themeColor="text1"/>
          <w:szCs w:val="28"/>
          <w:lang w:val="vi-VN"/>
        </w:rPr>
        <w:t>7</w:t>
      </w:r>
      <w:r w:rsidR="00E44464" w:rsidRPr="00026A3D">
        <w:rPr>
          <w:rFonts w:cs="Times New Roman"/>
          <w:i/>
          <w:color w:val="000000" w:themeColor="text1"/>
          <w:szCs w:val="28"/>
        </w:rPr>
        <w:t xml:space="preserve">/TTr-UBND ngày </w:t>
      </w:r>
      <w:r w:rsidR="009A1F3A" w:rsidRPr="00026A3D">
        <w:rPr>
          <w:rFonts w:cs="Times New Roman"/>
          <w:i/>
          <w:color w:val="000000" w:themeColor="text1"/>
          <w:szCs w:val="28"/>
        </w:rPr>
        <w:t>19</w:t>
      </w:r>
      <w:r w:rsidR="006903B2" w:rsidRPr="00026A3D">
        <w:rPr>
          <w:rFonts w:cs="Times New Roman"/>
          <w:i/>
          <w:color w:val="000000" w:themeColor="text1"/>
          <w:szCs w:val="28"/>
        </w:rPr>
        <w:t xml:space="preserve"> </w:t>
      </w:r>
      <w:r w:rsidR="009A1F3A" w:rsidRPr="00026A3D">
        <w:rPr>
          <w:rFonts w:cs="Times New Roman"/>
          <w:i/>
          <w:color w:val="000000" w:themeColor="text1"/>
          <w:szCs w:val="28"/>
        </w:rPr>
        <w:t>tháng 6</w:t>
      </w:r>
      <w:r w:rsidR="006903B2" w:rsidRPr="00026A3D">
        <w:rPr>
          <w:rFonts w:cs="Times New Roman"/>
          <w:i/>
          <w:color w:val="000000" w:themeColor="text1"/>
          <w:szCs w:val="28"/>
        </w:rPr>
        <w:t xml:space="preserve"> năm 2026</w:t>
      </w:r>
      <w:r w:rsidR="00C1009F" w:rsidRPr="00026A3D">
        <w:rPr>
          <w:rFonts w:cs="Times New Roman"/>
          <w:i/>
          <w:color w:val="000000" w:themeColor="text1"/>
          <w:szCs w:val="28"/>
        </w:rPr>
        <w:t xml:space="preserve"> </w:t>
      </w:r>
      <w:r w:rsidR="00C1009F" w:rsidRPr="00E44464">
        <w:rPr>
          <w:rFonts w:cs="Times New Roman"/>
          <w:i/>
          <w:szCs w:val="28"/>
        </w:rPr>
        <w:t xml:space="preserve">của UBND phường Hải </w:t>
      </w:r>
      <w:r w:rsidR="003E38D9" w:rsidRPr="00466C41">
        <w:rPr>
          <w:rFonts w:cs="Times New Roman"/>
          <w:i/>
          <w:szCs w:val="28"/>
        </w:rPr>
        <w:t>Ninh v</w:t>
      </w:r>
      <w:r w:rsidR="00C1009F" w:rsidRPr="00466C41">
        <w:rPr>
          <w:rFonts w:cs="Times New Roman"/>
          <w:bCs/>
          <w:i/>
          <w:spacing w:val="-2"/>
        </w:rPr>
        <w:t>ề việ</w:t>
      </w:r>
      <w:r w:rsidR="006903B2" w:rsidRPr="00466C41">
        <w:rPr>
          <w:rFonts w:cs="Times New Roman"/>
          <w:bCs/>
          <w:i/>
          <w:spacing w:val="-2"/>
        </w:rPr>
        <w:t xml:space="preserve">c </w:t>
      </w:r>
      <w:r w:rsidR="009A1F3A" w:rsidRPr="00466C41">
        <w:rPr>
          <w:rFonts w:cs="Times New Roman"/>
          <w:bCs/>
          <w:i/>
          <w:spacing w:val="-2"/>
        </w:rPr>
        <w:t>điều chỉnh</w:t>
      </w:r>
      <w:r w:rsidR="00026A3D">
        <w:rPr>
          <w:rFonts w:cs="Times New Roman"/>
          <w:bCs/>
          <w:i/>
          <w:spacing w:val="-2"/>
          <w:lang w:val="vi-VN"/>
        </w:rPr>
        <w:t>, bổ sung thu</w:t>
      </w:r>
      <w:r w:rsidR="00043283">
        <w:rPr>
          <w:rFonts w:cs="Times New Roman"/>
          <w:bCs/>
          <w:i/>
          <w:spacing w:val="-2"/>
          <w:lang w:val="vi-VN"/>
        </w:rPr>
        <w:t>,</w:t>
      </w:r>
      <w:r w:rsidR="00026A3D">
        <w:rPr>
          <w:rFonts w:cs="Times New Roman"/>
          <w:bCs/>
          <w:i/>
          <w:spacing w:val="-2"/>
          <w:lang w:val="vi-VN"/>
        </w:rPr>
        <w:t xml:space="preserve"> chi</w:t>
      </w:r>
      <w:r w:rsidR="009A1F3A" w:rsidRPr="00466C41">
        <w:rPr>
          <w:rFonts w:cs="Times New Roman"/>
          <w:bCs/>
          <w:i/>
          <w:spacing w:val="-2"/>
        </w:rPr>
        <w:t xml:space="preserve"> </w:t>
      </w:r>
      <w:r w:rsidR="00043283">
        <w:rPr>
          <w:rFonts w:cs="Times New Roman"/>
          <w:bCs/>
          <w:i/>
          <w:spacing w:val="-2"/>
          <w:lang w:val="vi-VN"/>
        </w:rPr>
        <w:t>N</w:t>
      </w:r>
      <w:r w:rsidR="00E44464" w:rsidRPr="00466C41">
        <w:rPr>
          <w:rFonts w:cs="Times New Roman"/>
          <w:bCs/>
          <w:i/>
          <w:spacing w:val="-2"/>
        </w:rPr>
        <w:t xml:space="preserve">gân sách </w:t>
      </w:r>
      <w:r w:rsidR="00043283">
        <w:rPr>
          <w:rFonts w:cs="Times New Roman"/>
          <w:bCs/>
          <w:i/>
          <w:spacing w:val="-2"/>
          <w:lang w:val="vi-VN"/>
        </w:rPr>
        <w:t>n</w:t>
      </w:r>
      <w:r w:rsidR="00E44464" w:rsidRPr="00466C41">
        <w:rPr>
          <w:rFonts w:cs="Times New Roman"/>
          <w:bCs/>
          <w:i/>
          <w:spacing w:val="-2"/>
        </w:rPr>
        <w:t>hà nước</w:t>
      </w:r>
      <w:r w:rsidR="006903B2" w:rsidRPr="00466C41">
        <w:rPr>
          <w:rFonts w:cs="Times New Roman"/>
          <w:bCs/>
          <w:i/>
          <w:spacing w:val="-2"/>
        </w:rPr>
        <w:t xml:space="preserve"> 6 tháng</w:t>
      </w:r>
      <w:r w:rsidR="009A1F3A" w:rsidRPr="00466C41">
        <w:rPr>
          <w:rFonts w:cs="Times New Roman"/>
          <w:bCs/>
          <w:i/>
          <w:spacing w:val="-2"/>
        </w:rPr>
        <w:t xml:space="preserve"> cuối</w:t>
      </w:r>
      <w:r w:rsidR="00E44464" w:rsidRPr="00466C41">
        <w:rPr>
          <w:rFonts w:cs="Times New Roman"/>
          <w:bCs/>
          <w:i/>
          <w:spacing w:val="-2"/>
        </w:rPr>
        <w:t xml:space="preserve"> năm 2026</w:t>
      </w:r>
      <w:r w:rsidR="00C1009F" w:rsidRPr="00466C41">
        <w:rPr>
          <w:rFonts w:cs="Times New Roman"/>
          <w:bCs/>
          <w:i/>
          <w:spacing w:val="-2"/>
        </w:rPr>
        <w:t>;</w:t>
      </w:r>
      <w:r w:rsidR="00C1009F" w:rsidRPr="00E44464">
        <w:rPr>
          <w:rFonts w:cs="Times New Roman"/>
          <w:bCs/>
          <w:i/>
          <w:spacing w:val="-2"/>
        </w:rPr>
        <w:t xml:space="preserve"> </w:t>
      </w:r>
      <w:r w:rsidR="00E76CDB" w:rsidRPr="00E76CDB">
        <w:rPr>
          <w:rFonts w:cs="Times New Roman"/>
          <w:bCs/>
          <w:i/>
          <w:spacing w:val="-2"/>
        </w:rPr>
        <w:t xml:space="preserve">Báo cáo thẩm tra của Ban Kinh tế - Ngân sách </w:t>
      </w:r>
      <w:r w:rsidR="00C1009F" w:rsidRPr="00E44464">
        <w:rPr>
          <w:rFonts w:cs="Times New Roman"/>
          <w:bCs/>
          <w:i/>
          <w:spacing w:val="-2"/>
        </w:rPr>
        <w:t xml:space="preserve">và </w:t>
      </w:r>
      <w:r w:rsidR="00026A3D" w:rsidRPr="00026A3D">
        <w:rPr>
          <w:rFonts w:cs="Times New Roman"/>
          <w:bCs/>
          <w:i/>
          <w:spacing w:val="-2"/>
        </w:rPr>
        <w:t>ý kiến th</w:t>
      </w:r>
      <w:r w:rsidR="00026A3D">
        <w:rPr>
          <w:rFonts w:cs="Times New Roman"/>
          <w:bCs/>
          <w:i/>
          <w:spacing w:val="-2"/>
          <w:lang w:val="vi-VN"/>
        </w:rPr>
        <w:t>ả</w:t>
      </w:r>
      <w:r w:rsidR="00026A3D" w:rsidRPr="00026A3D">
        <w:rPr>
          <w:rFonts w:cs="Times New Roman"/>
          <w:bCs/>
          <w:i/>
          <w:spacing w:val="-2"/>
        </w:rPr>
        <w:t>o luậ</w:t>
      </w:r>
      <w:r w:rsidR="00AA0232">
        <w:rPr>
          <w:rFonts w:cs="Times New Roman"/>
          <w:bCs/>
          <w:i/>
          <w:spacing w:val="-2"/>
        </w:rPr>
        <w:t>n</w:t>
      </w:r>
      <w:r w:rsidR="00026A3D" w:rsidRPr="00026A3D">
        <w:rPr>
          <w:rFonts w:cs="Times New Roman"/>
          <w:bCs/>
          <w:i/>
          <w:spacing w:val="-2"/>
        </w:rPr>
        <w:t xml:space="preserve"> của đại biểu Hội đồng nhân dân phường tại kỳ họp.</w:t>
      </w:r>
    </w:p>
    <w:p w14:paraId="41949DDC" w14:textId="77777777" w:rsidR="003601AC" w:rsidRDefault="003601AC" w:rsidP="002E004D">
      <w:pPr>
        <w:tabs>
          <w:tab w:val="left" w:pos="3926"/>
        </w:tabs>
        <w:spacing w:before="60" w:after="60" w:line="276" w:lineRule="auto"/>
        <w:ind w:firstLine="720"/>
        <w:jc w:val="center"/>
        <w:rPr>
          <w:b/>
          <w:szCs w:val="28"/>
        </w:rPr>
      </w:pPr>
    </w:p>
    <w:p w14:paraId="689AAD3A" w14:textId="14F2CC4F" w:rsidR="000B195B" w:rsidRPr="002A4799" w:rsidRDefault="000B195B" w:rsidP="002E004D">
      <w:pPr>
        <w:tabs>
          <w:tab w:val="left" w:pos="3926"/>
        </w:tabs>
        <w:spacing w:before="60" w:after="60" w:line="276" w:lineRule="auto"/>
        <w:ind w:firstLine="720"/>
        <w:jc w:val="center"/>
        <w:rPr>
          <w:b/>
          <w:position w:val="-32"/>
          <w:szCs w:val="28"/>
        </w:rPr>
      </w:pPr>
      <w:r w:rsidRPr="002A4799">
        <w:rPr>
          <w:b/>
          <w:szCs w:val="28"/>
        </w:rPr>
        <w:t>QUYẾT NGHỊ:</w:t>
      </w:r>
    </w:p>
    <w:p w14:paraId="10F47FC0" w14:textId="49E13B38" w:rsidR="0091615A" w:rsidRDefault="00C1009F" w:rsidP="002E004D">
      <w:pPr>
        <w:spacing w:before="60" w:after="60" w:line="276" w:lineRule="auto"/>
        <w:ind w:firstLine="709"/>
        <w:rPr>
          <w:rFonts w:eastAsia="Calibri"/>
          <w:lang w:val="nl-NL"/>
        </w:rPr>
      </w:pPr>
      <w:r w:rsidRPr="00C1009F">
        <w:rPr>
          <w:b/>
          <w:bCs/>
          <w:spacing w:val="-2"/>
        </w:rPr>
        <w:t>Điều 1</w:t>
      </w:r>
      <w:r>
        <w:rPr>
          <w:bCs/>
          <w:spacing w:val="-2"/>
        </w:rPr>
        <w:t xml:space="preserve">. </w:t>
      </w:r>
      <w:r w:rsidR="00E975F7">
        <w:rPr>
          <w:bCs/>
          <w:spacing w:val="-2"/>
          <w:lang w:val="vi-VN"/>
        </w:rPr>
        <w:t>Đ</w:t>
      </w:r>
      <w:r w:rsidR="009A1F3A" w:rsidRPr="009A1F3A">
        <w:rPr>
          <w:rFonts w:cs="Times New Roman"/>
          <w:bCs/>
          <w:spacing w:val="-2"/>
        </w:rPr>
        <w:t>iều chỉnh dự toán thu</w:t>
      </w:r>
      <w:r w:rsidR="00E975F7">
        <w:rPr>
          <w:rFonts w:cs="Times New Roman"/>
          <w:bCs/>
          <w:spacing w:val="-2"/>
          <w:lang w:val="vi-VN"/>
        </w:rPr>
        <w:t>,</w:t>
      </w:r>
      <w:r w:rsidR="009A1F3A" w:rsidRPr="009A1F3A">
        <w:rPr>
          <w:rFonts w:cs="Times New Roman"/>
          <w:bCs/>
          <w:spacing w:val="-2"/>
        </w:rPr>
        <w:t xml:space="preserve"> chi ngân sách nhà nước 6 tháng cuối năm 2026</w:t>
      </w:r>
      <w:r w:rsidR="009A1F3A">
        <w:rPr>
          <w:rFonts w:cs="Times New Roman"/>
          <w:bCs/>
          <w:i/>
          <w:spacing w:val="-2"/>
        </w:rPr>
        <w:t xml:space="preserve"> </w:t>
      </w:r>
      <w:r w:rsidRPr="009A1F3A">
        <w:rPr>
          <w:rFonts w:eastAsia="Calibri"/>
          <w:lang w:val="nl-NL"/>
        </w:rPr>
        <w:t>cụ thể</w:t>
      </w:r>
      <w:r>
        <w:rPr>
          <w:rFonts w:eastAsia="Calibri"/>
          <w:lang w:val="nl-NL"/>
        </w:rPr>
        <w:t xml:space="preserve"> như sau</w:t>
      </w:r>
      <w:r w:rsidR="00557F0B">
        <w:rPr>
          <w:rFonts w:eastAsia="Calibri"/>
          <w:lang w:val="nl-NL"/>
        </w:rPr>
        <w:t xml:space="preserve">: </w:t>
      </w:r>
    </w:p>
    <w:p w14:paraId="0ED59350" w14:textId="0A6FFB52" w:rsidR="001471D7" w:rsidRPr="001471D7" w:rsidRDefault="001471D7" w:rsidP="001471D7">
      <w:pPr>
        <w:spacing w:after="100" w:line="276" w:lineRule="auto"/>
        <w:ind w:firstLine="709"/>
        <w:jc w:val="right"/>
        <w:rPr>
          <w:rFonts w:eastAsia="Calibri"/>
          <w:i/>
          <w:sz w:val="24"/>
          <w:szCs w:val="24"/>
          <w:lang w:val="nl-NL"/>
        </w:rPr>
      </w:pPr>
      <w:r w:rsidRPr="001471D7">
        <w:rPr>
          <w:rFonts w:eastAsia="Calibri"/>
          <w:i/>
          <w:sz w:val="24"/>
          <w:szCs w:val="24"/>
          <w:lang w:val="nl-NL"/>
        </w:rPr>
        <w:t xml:space="preserve">Đơn vị tính: </w:t>
      </w:r>
      <w:r w:rsidR="00A772E3">
        <w:rPr>
          <w:rFonts w:eastAsia="Calibri"/>
          <w:i/>
          <w:sz w:val="24"/>
          <w:szCs w:val="24"/>
          <w:lang w:val="nl-NL"/>
        </w:rPr>
        <w:t>t</w:t>
      </w:r>
      <w:r w:rsidRPr="001471D7">
        <w:rPr>
          <w:rFonts w:eastAsia="Calibri"/>
          <w:i/>
          <w:sz w:val="24"/>
          <w:szCs w:val="24"/>
          <w:lang w:val="nl-NL"/>
        </w:rPr>
        <w:t>riệu đồng</w:t>
      </w:r>
    </w:p>
    <w:tbl>
      <w:tblPr>
        <w:tblW w:w="9323" w:type="dxa"/>
        <w:tblInd w:w="-5" w:type="dxa"/>
        <w:tblLook w:val="04A0" w:firstRow="1" w:lastRow="0" w:firstColumn="1" w:lastColumn="0" w:noHBand="0" w:noVBand="1"/>
      </w:tblPr>
      <w:tblGrid>
        <w:gridCol w:w="3828"/>
        <w:gridCol w:w="1310"/>
        <w:gridCol w:w="1099"/>
        <w:gridCol w:w="993"/>
        <w:gridCol w:w="1134"/>
        <w:gridCol w:w="959"/>
      </w:tblGrid>
      <w:tr w:rsidR="001471D7" w:rsidRPr="00314CA1" w14:paraId="591B1787" w14:textId="77777777" w:rsidTr="00D35CD5">
        <w:trPr>
          <w:trHeight w:val="56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1E22" w14:textId="77777777" w:rsidR="00314CA1" w:rsidRPr="001E74C3" w:rsidRDefault="00314CA1" w:rsidP="00314C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E74C3">
              <w:rPr>
                <w:rFonts w:eastAsia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CF6D" w14:textId="329A9AEA" w:rsidR="00314CA1" w:rsidRPr="00E975F7" w:rsidRDefault="00314CA1" w:rsidP="00314C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  <w:r w:rsidRPr="001E74C3">
              <w:rPr>
                <w:rFonts w:eastAsia="Times New Roman" w:cs="Times New Roman"/>
                <w:b/>
                <w:bCs/>
                <w:sz w:val="24"/>
                <w:szCs w:val="24"/>
              </w:rPr>
              <w:t>Dự toán theo NQ số 17</w:t>
            </w:r>
            <w:r w:rsidR="00E975F7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/NQ-HĐND ngày 26/12/202</w:t>
            </w:r>
            <w:r w:rsidR="0035270B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509A" w14:textId="77777777" w:rsidR="00314CA1" w:rsidRPr="001E74C3" w:rsidRDefault="00314CA1" w:rsidP="00314C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4C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Đề nghị điều chỉnh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1324" w14:textId="77777777" w:rsidR="00314CA1" w:rsidRPr="001E74C3" w:rsidRDefault="00314CA1" w:rsidP="00314C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E74C3">
              <w:rPr>
                <w:rFonts w:eastAsia="Times New Roman" w:cs="Times New Roman"/>
                <w:b/>
                <w:bCs/>
                <w:sz w:val="24"/>
                <w:szCs w:val="24"/>
              </w:rPr>
              <w:t>Dự toán sau điều chỉnh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14D6" w14:textId="77777777" w:rsidR="00314CA1" w:rsidRPr="001E74C3" w:rsidRDefault="00314CA1" w:rsidP="00314C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E74C3">
              <w:rPr>
                <w:rFonts w:eastAsia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1471D7" w:rsidRPr="00314CA1" w14:paraId="7DC78495" w14:textId="77777777" w:rsidTr="00D35CD5">
        <w:trPr>
          <w:trHeight w:val="557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8250" w14:textId="77777777" w:rsidR="00314CA1" w:rsidRPr="001E74C3" w:rsidRDefault="00314CA1" w:rsidP="00314CA1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22F7" w14:textId="77777777" w:rsidR="00314CA1" w:rsidRPr="001E74C3" w:rsidRDefault="00314CA1" w:rsidP="00314CA1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006C" w14:textId="77777777" w:rsidR="00314CA1" w:rsidRPr="001E74C3" w:rsidRDefault="00F84D92" w:rsidP="00314CA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74C3">
              <w:rPr>
                <w:rFonts w:eastAsia="Times New Roman" w:cs="Times New Roman"/>
                <w:sz w:val="24"/>
                <w:szCs w:val="24"/>
              </w:rPr>
              <w:t>Điều chỉnh tăng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0CE6" w14:textId="77777777" w:rsidR="00314CA1" w:rsidRPr="001E74C3" w:rsidRDefault="00314CA1" w:rsidP="00F84D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E74C3">
              <w:rPr>
                <w:rFonts w:eastAsia="Times New Roman" w:cs="Times New Roman"/>
                <w:sz w:val="24"/>
                <w:szCs w:val="24"/>
              </w:rPr>
              <w:t xml:space="preserve">Điều chỉnh </w:t>
            </w:r>
            <w:r w:rsidR="00F84D92" w:rsidRPr="001E74C3">
              <w:rPr>
                <w:rFonts w:eastAsia="Times New Roman" w:cs="Times New Roman"/>
                <w:sz w:val="24"/>
                <w:szCs w:val="24"/>
              </w:rPr>
              <w:t>giảm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9472" w14:textId="77777777" w:rsidR="00314CA1" w:rsidRPr="001E74C3" w:rsidRDefault="00314CA1" w:rsidP="00314CA1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986E" w14:textId="77777777" w:rsidR="00314CA1" w:rsidRPr="001E74C3" w:rsidRDefault="00314CA1" w:rsidP="00314CA1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E74C3" w:rsidRPr="00314CA1" w14:paraId="336F3F97" w14:textId="77777777" w:rsidTr="00D35CD5">
        <w:trPr>
          <w:trHeight w:val="3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330D" w14:textId="5BBD2AF3" w:rsidR="001E74C3" w:rsidRPr="001E74C3" w:rsidRDefault="001E74C3" w:rsidP="00E07CF6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1E74C3">
              <w:rPr>
                <w:b/>
                <w:bCs/>
                <w:color w:val="000000"/>
                <w:sz w:val="24"/>
                <w:szCs w:val="24"/>
              </w:rPr>
              <w:t>Tổng thu ngân sách nhà nước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5B5B" w14:textId="77777777" w:rsidR="001E74C3" w:rsidRPr="001E74C3" w:rsidRDefault="001E74C3" w:rsidP="00E07CF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74C3">
              <w:rPr>
                <w:b/>
                <w:bCs/>
                <w:color w:val="000000"/>
                <w:sz w:val="24"/>
                <w:szCs w:val="24"/>
              </w:rPr>
              <w:t>199.447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7F8A" w14:textId="77777777" w:rsidR="001E74C3" w:rsidRPr="001E74C3" w:rsidRDefault="001E74C3" w:rsidP="00E07CF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74C3">
              <w:rPr>
                <w:b/>
                <w:bCs/>
                <w:color w:val="000000"/>
                <w:sz w:val="24"/>
                <w:szCs w:val="24"/>
              </w:rPr>
              <w:t>78.981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7D91" w14:textId="77777777" w:rsidR="001E74C3" w:rsidRPr="001E74C3" w:rsidRDefault="001E74C3" w:rsidP="00E07CF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74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F281" w14:textId="77777777" w:rsidR="001E74C3" w:rsidRPr="001E74C3" w:rsidRDefault="001E74C3" w:rsidP="00E07CF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74C3">
              <w:rPr>
                <w:b/>
                <w:bCs/>
                <w:color w:val="000000"/>
                <w:sz w:val="24"/>
                <w:szCs w:val="24"/>
              </w:rPr>
              <w:t>278.428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F5A4" w14:textId="77777777" w:rsidR="001E74C3" w:rsidRPr="001E74C3" w:rsidRDefault="001E74C3" w:rsidP="00E07CF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E74C3">
              <w:rPr>
                <w:rFonts w:eastAsia="Times New Roman" w:cs="Times New Roman"/>
                <w:b/>
                <w:sz w:val="24"/>
                <w:szCs w:val="24"/>
              </w:rPr>
              <w:t> </w:t>
            </w:r>
          </w:p>
        </w:tc>
      </w:tr>
      <w:tr w:rsidR="001E74C3" w:rsidRPr="00314CA1" w14:paraId="5F045085" w14:textId="77777777" w:rsidTr="00340917">
        <w:trPr>
          <w:trHeight w:val="4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4160" w14:textId="43D9146C" w:rsidR="001E74C3" w:rsidRPr="00A175F0" w:rsidRDefault="00E07CF6" w:rsidP="00E07CF6">
            <w:pPr>
              <w:spacing w:after="0" w:line="240" w:lineRule="auto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Trong đó:</w:t>
            </w:r>
            <w:r w:rsidR="00340917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 w:rsidR="001E74C3" w:rsidRPr="001E74C3">
              <w:rPr>
                <w:color w:val="000000"/>
                <w:sz w:val="24"/>
                <w:szCs w:val="24"/>
              </w:rPr>
              <w:t>Thu ngân sách trên địa bàn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48B6" w14:textId="77777777" w:rsidR="00E07CF6" w:rsidRDefault="00E07CF6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vi-VN"/>
              </w:rPr>
            </w:pPr>
          </w:p>
          <w:p w14:paraId="3BC3CF3A" w14:textId="5D4A030F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38.270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F156" w14:textId="77777777" w:rsidR="00E07CF6" w:rsidRDefault="00E07CF6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vi-VN"/>
              </w:rPr>
            </w:pPr>
          </w:p>
          <w:p w14:paraId="61F1A542" w14:textId="51466E65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65.812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AFDE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C368" w14:textId="77777777" w:rsidR="00E07CF6" w:rsidRDefault="00E07CF6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vi-VN"/>
              </w:rPr>
            </w:pPr>
          </w:p>
          <w:p w14:paraId="3B3097CA" w14:textId="7D081F25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104.082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E671" w14:textId="77777777" w:rsidR="001E74C3" w:rsidRPr="001E74C3" w:rsidRDefault="001E74C3" w:rsidP="00E07C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E74C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E74C3" w:rsidRPr="00314CA1" w14:paraId="05EA1F98" w14:textId="77777777" w:rsidTr="00340917">
        <w:trPr>
          <w:trHeight w:val="4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E57E" w14:textId="4FE59BC4" w:rsidR="001E74C3" w:rsidRPr="0035270B" w:rsidRDefault="00A175F0" w:rsidP="00E07CF6">
            <w:pPr>
              <w:spacing w:after="0" w:line="240" w:lineRule="auto"/>
              <w:ind w:left="-113" w:right="-114"/>
              <w:rPr>
                <w:b/>
                <w:bCs/>
                <w:color w:val="000000"/>
                <w:sz w:val="24"/>
                <w:szCs w:val="24"/>
                <w:lang w:val="vi-VN"/>
              </w:rPr>
            </w:pPr>
            <w:r w:rsidRPr="0035270B">
              <w:rPr>
                <w:b/>
                <w:bCs/>
                <w:color w:val="000000"/>
                <w:sz w:val="24"/>
                <w:szCs w:val="24"/>
              </w:rPr>
              <w:t>I.</w:t>
            </w:r>
            <w:r w:rsidR="0035270B">
              <w:rPr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="001E74C3" w:rsidRPr="001E74C3">
              <w:rPr>
                <w:b/>
                <w:bCs/>
                <w:color w:val="000000"/>
                <w:sz w:val="24"/>
                <w:szCs w:val="24"/>
              </w:rPr>
              <w:t>Tổng thu ngân sách phường hưởng</w:t>
            </w:r>
            <w:r w:rsidR="0035270B">
              <w:rPr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F12F" w14:textId="77777777" w:rsidR="001E74C3" w:rsidRPr="001E74C3" w:rsidRDefault="001E74C3" w:rsidP="00E07CF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74C3">
              <w:rPr>
                <w:b/>
                <w:bCs/>
                <w:color w:val="000000"/>
                <w:sz w:val="24"/>
                <w:szCs w:val="24"/>
              </w:rPr>
              <w:t>176.852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6CD1" w14:textId="77777777" w:rsidR="001E74C3" w:rsidRPr="001E74C3" w:rsidRDefault="001E74C3" w:rsidP="00E07CF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74C3">
              <w:rPr>
                <w:b/>
                <w:bCs/>
                <w:color w:val="000000"/>
                <w:sz w:val="24"/>
                <w:szCs w:val="24"/>
              </w:rPr>
              <w:t>30.227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D7879" w14:textId="77777777" w:rsidR="001E74C3" w:rsidRPr="001E74C3" w:rsidRDefault="001E74C3" w:rsidP="00E07CF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74C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9F08" w14:textId="77777777" w:rsidR="001E74C3" w:rsidRPr="001E74C3" w:rsidRDefault="001E74C3" w:rsidP="00E07CF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74C3">
              <w:rPr>
                <w:b/>
                <w:bCs/>
                <w:color w:val="000000"/>
                <w:sz w:val="24"/>
                <w:szCs w:val="24"/>
              </w:rPr>
              <w:t>207.079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F774" w14:textId="77777777" w:rsidR="001E74C3" w:rsidRPr="001E74C3" w:rsidRDefault="001E74C3" w:rsidP="00E07C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E74C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E74C3" w:rsidRPr="00314CA1" w14:paraId="79B20D15" w14:textId="77777777" w:rsidTr="00D35CD5">
        <w:trPr>
          <w:trHeight w:val="47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2AA1D" w14:textId="0272BBAC" w:rsidR="001E74C3" w:rsidRPr="00A175F0" w:rsidRDefault="001E74C3" w:rsidP="00E07CF6">
            <w:pPr>
              <w:spacing w:after="0" w:line="240" w:lineRule="auto"/>
              <w:rPr>
                <w:color w:val="000000"/>
                <w:sz w:val="24"/>
                <w:szCs w:val="24"/>
                <w:lang w:val="vi-VN"/>
              </w:rPr>
            </w:pPr>
            <w:r w:rsidRPr="001E74C3">
              <w:rPr>
                <w:color w:val="000000"/>
                <w:sz w:val="24"/>
                <w:szCs w:val="24"/>
              </w:rPr>
              <w:t>1.</w:t>
            </w:r>
            <w:r w:rsidR="00E975F7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 w:rsidRPr="001E74C3">
              <w:rPr>
                <w:color w:val="000000"/>
                <w:sz w:val="24"/>
                <w:szCs w:val="24"/>
              </w:rPr>
              <w:t>Ngân sách phường hưởng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D85B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15.675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DFEA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17.059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71171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D239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32.734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BB0F" w14:textId="77777777" w:rsidR="001E74C3" w:rsidRPr="001E74C3" w:rsidRDefault="001E74C3" w:rsidP="00E07C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E74C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E74C3" w:rsidRPr="00314CA1" w14:paraId="0817DC43" w14:textId="77777777" w:rsidTr="00D35CD5">
        <w:trPr>
          <w:trHeight w:val="49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CC847" w14:textId="77777777" w:rsidR="001E74C3" w:rsidRPr="001E74C3" w:rsidRDefault="001E74C3" w:rsidP="00E07CF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2. Thu bổ sung từ ngân sách cấp trên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2A22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161.177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01C3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8482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5401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161.177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8FF7" w14:textId="77777777" w:rsidR="001E74C3" w:rsidRPr="001E74C3" w:rsidRDefault="001E74C3" w:rsidP="00E07C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E74C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E74C3" w:rsidRPr="00314CA1" w14:paraId="45CEB763" w14:textId="77777777" w:rsidTr="00D35CD5">
        <w:trPr>
          <w:trHeight w:val="46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AE8A" w14:textId="3772C9C7" w:rsidR="001E74C3" w:rsidRPr="001E74C3" w:rsidRDefault="001E74C3" w:rsidP="00E07CF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2.1</w:t>
            </w:r>
            <w:r w:rsidR="00E975F7">
              <w:rPr>
                <w:color w:val="000000"/>
                <w:sz w:val="24"/>
                <w:szCs w:val="24"/>
                <w:lang w:val="vi-VN"/>
              </w:rPr>
              <w:t>.</w:t>
            </w:r>
            <w:r w:rsidRPr="001E74C3">
              <w:rPr>
                <w:color w:val="000000"/>
                <w:sz w:val="24"/>
                <w:szCs w:val="24"/>
              </w:rPr>
              <w:t xml:space="preserve"> Thu bổ sung cân đối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A073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135.758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3E15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9174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00993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135.758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1E9A" w14:textId="77777777" w:rsidR="001E74C3" w:rsidRPr="001E74C3" w:rsidRDefault="001E74C3" w:rsidP="00E07C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E74C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E74C3" w:rsidRPr="00314CA1" w14:paraId="5C8D9209" w14:textId="77777777" w:rsidTr="00D35CD5">
        <w:trPr>
          <w:trHeight w:val="37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28B5" w14:textId="2F3E41E5" w:rsidR="001E74C3" w:rsidRPr="00A175F0" w:rsidRDefault="001E74C3" w:rsidP="00E07CF6">
            <w:pPr>
              <w:spacing w:after="0" w:line="240" w:lineRule="auto"/>
              <w:rPr>
                <w:color w:val="000000"/>
                <w:sz w:val="24"/>
                <w:szCs w:val="24"/>
                <w:lang w:val="vi-VN"/>
              </w:rPr>
            </w:pPr>
            <w:r w:rsidRPr="001E74C3">
              <w:rPr>
                <w:color w:val="000000"/>
                <w:sz w:val="24"/>
                <w:szCs w:val="24"/>
              </w:rPr>
              <w:t>2.2</w:t>
            </w:r>
            <w:r w:rsidR="00E975F7">
              <w:rPr>
                <w:color w:val="000000"/>
                <w:sz w:val="24"/>
                <w:szCs w:val="24"/>
                <w:lang w:val="vi-VN"/>
              </w:rPr>
              <w:t>.</w:t>
            </w:r>
            <w:r w:rsidRPr="001E74C3">
              <w:rPr>
                <w:color w:val="000000"/>
                <w:sz w:val="24"/>
                <w:szCs w:val="24"/>
              </w:rPr>
              <w:t xml:space="preserve"> Thu bổ sung có mục tiêu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7622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25.419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A9AD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3BF2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948C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25.419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8C57" w14:textId="77777777" w:rsidR="001E74C3" w:rsidRPr="001E74C3" w:rsidRDefault="001E74C3" w:rsidP="00E07C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E74C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E74C3" w:rsidRPr="00314CA1" w14:paraId="7B89B85A" w14:textId="77777777" w:rsidTr="00D35CD5">
        <w:trPr>
          <w:trHeight w:val="4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5875" w14:textId="10305493" w:rsidR="001E74C3" w:rsidRPr="001E74C3" w:rsidRDefault="001E74C3" w:rsidP="00E07CF6">
            <w:pPr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3.</w:t>
            </w:r>
            <w:r w:rsidR="00E975F7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 w:rsidRPr="001E74C3">
              <w:rPr>
                <w:color w:val="000000"/>
                <w:sz w:val="24"/>
                <w:szCs w:val="24"/>
              </w:rPr>
              <w:t>Thu chuyển nguồn ngân sách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5DA4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32DF3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7.699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6A728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883D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7.699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7CC7" w14:textId="77777777" w:rsidR="001E74C3" w:rsidRPr="001E74C3" w:rsidRDefault="001E74C3" w:rsidP="00E07C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E74C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E74C3" w:rsidRPr="00314CA1" w14:paraId="2F44E764" w14:textId="77777777" w:rsidTr="00D35CD5">
        <w:trPr>
          <w:trHeight w:val="4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61A2" w14:textId="502D012A" w:rsidR="001E74C3" w:rsidRPr="001E74C3" w:rsidRDefault="001E74C3" w:rsidP="00E07CF6">
            <w:pPr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4.</w:t>
            </w:r>
            <w:r w:rsidR="00E975F7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 w:rsidRPr="001E74C3">
              <w:rPr>
                <w:color w:val="000000"/>
                <w:sz w:val="24"/>
                <w:szCs w:val="24"/>
              </w:rPr>
              <w:t>Thu kết dư ngân sách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7751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34D2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5.469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52053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E74B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5.469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0B99" w14:textId="77777777" w:rsidR="001E74C3" w:rsidRPr="001E74C3" w:rsidRDefault="001E74C3" w:rsidP="00E07C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E74C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E74C3" w:rsidRPr="00314CA1" w14:paraId="715FCD52" w14:textId="77777777" w:rsidTr="00D35CD5">
        <w:trPr>
          <w:trHeight w:val="41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B602" w14:textId="77777777" w:rsidR="001E74C3" w:rsidRPr="001E74C3" w:rsidRDefault="001E74C3" w:rsidP="00E07CF6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1E74C3">
              <w:rPr>
                <w:b/>
                <w:bCs/>
                <w:color w:val="000000"/>
                <w:sz w:val="24"/>
                <w:szCs w:val="24"/>
              </w:rPr>
              <w:t>II. Tổng chi ngân sách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138F" w14:textId="77777777" w:rsidR="001E74C3" w:rsidRPr="001E74C3" w:rsidRDefault="001E74C3" w:rsidP="00E07CF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74C3">
              <w:rPr>
                <w:b/>
                <w:bCs/>
                <w:color w:val="000000"/>
                <w:sz w:val="24"/>
                <w:szCs w:val="24"/>
              </w:rPr>
              <w:t>176.852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54EE" w14:textId="77777777" w:rsidR="001E74C3" w:rsidRPr="001E74C3" w:rsidRDefault="001E74C3" w:rsidP="00E07CF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74C3">
              <w:rPr>
                <w:b/>
                <w:bCs/>
                <w:color w:val="000000"/>
                <w:sz w:val="24"/>
                <w:szCs w:val="24"/>
              </w:rPr>
              <w:t>30.585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F6B1" w14:textId="77777777" w:rsidR="001E74C3" w:rsidRPr="001E74C3" w:rsidRDefault="001E74C3" w:rsidP="00E07CF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74C3">
              <w:rPr>
                <w:b/>
                <w:bCs/>
                <w:color w:val="000000"/>
                <w:sz w:val="24"/>
                <w:szCs w:val="24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C209" w14:textId="77777777" w:rsidR="001E74C3" w:rsidRPr="001E74C3" w:rsidRDefault="001E74C3" w:rsidP="00E07CF6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1E74C3">
              <w:rPr>
                <w:b/>
                <w:bCs/>
                <w:color w:val="000000"/>
                <w:sz w:val="24"/>
                <w:szCs w:val="24"/>
              </w:rPr>
              <w:t>207.079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B61A" w14:textId="77777777" w:rsidR="001E74C3" w:rsidRPr="001E74C3" w:rsidRDefault="001E74C3" w:rsidP="00E07CF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E74C3">
              <w:rPr>
                <w:rFonts w:eastAsia="Times New Roman" w:cs="Times New Roman"/>
                <w:b/>
                <w:sz w:val="24"/>
                <w:szCs w:val="24"/>
              </w:rPr>
              <w:t> </w:t>
            </w:r>
          </w:p>
        </w:tc>
      </w:tr>
      <w:tr w:rsidR="001E74C3" w:rsidRPr="00314CA1" w14:paraId="5DE8E44D" w14:textId="77777777" w:rsidTr="00D35CD5">
        <w:trPr>
          <w:trHeight w:val="42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C6BE" w14:textId="0775A4BF" w:rsidR="001E74C3" w:rsidRPr="00A175F0" w:rsidRDefault="001E74C3" w:rsidP="00E07CF6">
            <w:pPr>
              <w:spacing w:after="0" w:line="240" w:lineRule="auto"/>
              <w:rPr>
                <w:color w:val="000000"/>
                <w:sz w:val="24"/>
                <w:szCs w:val="24"/>
                <w:lang w:val="vi-VN"/>
              </w:rPr>
            </w:pPr>
            <w:r w:rsidRPr="001E74C3">
              <w:rPr>
                <w:color w:val="000000"/>
                <w:sz w:val="24"/>
                <w:szCs w:val="24"/>
              </w:rPr>
              <w:t>1. Chi đầu tư phát triển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158D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11.550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BAB7" w14:textId="5D21FD81" w:rsidR="001E74C3" w:rsidRPr="00DC5D35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vi-VN"/>
              </w:rPr>
            </w:pPr>
            <w:r w:rsidRPr="001E74C3">
              <w:rPr>
                <w:color w:val="000000"/>
                <w:sz w:val="24"/>
                <w:szCs w:val="24"/>
              </w:rPr>
              <w:t>14.35</w:t>
            </w:r>
            <w:r w:rsidR="00DC5D35">
              <w:rPr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A598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8B04" w14:textId="3880F66A" w:rsidR="001E74C3" w:rsidRPr="00DC5D35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vi-VN"/>
              </w:rPr>
            </w:pPr>
            <w:r w:rsidRPr="001E74C3">
              <w:rPr>
                <w:color w:val="000000"/>
                <w:sz w:val="24"/>
                <w:szCs w:val="24"/>
              </w:rPr>
              <w:t>25.90</w:t>
            </w:r>
            <w:r w:rsidR="00DC5D35">
              <w:rPr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FE48" w14:textId="77777777" w:rsidR="001E74C3" w:rsidRPr="001E74C3" w:rsidRDefault="001E74C3" w:rsidP="00E07C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E74C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E74C3" w:rsidRPr="00314CA1" w14:paraId="6A60240E" w14:textId="77777777" w:rsidTr="00D35CD5">
        <w:trPr>
          <w:trHeight w:val="4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3723" w14:textId="473DF71F" w:rsidR="001E74C3" w:rsidRPr="00A175F0" w:rsidRDefault="001E74C3" w:rsidP="00E07CF6">
            <w:pPr>
              <w:spacing w:after="0" w:line="240" w:lineRule="auto"/>
              <w:rPr>
                <w:color w:val="000000"/>
                <w:sz w:val="24"/>
                <w:szCs w:val="24"/>
                <w:lang w:val="vi-VN"/>
              </w:rPr>
            </w:pPr>
            <w:r w:rsidRPr="001E74C3">
              <w:rPr>
                <w:color w:val="000000"/>
                <w:sz w:val="24"/>
                <w:szCs w:val="24"/>
              </w:rPr>
              <w:t>2. Chi thường xuyên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1966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162.461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362B" w14:textId="55461A85" w:rsidR="001E74C3" w:rsidRPr="00DC5D35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vi-VN"/>
              </w:rPr>
            </w:pPr>
            <w:r w:rsidRPr="001E74C3">
              <w:rPr>
                <w:color w:val="000000"/>
                <w:sz w:val="24"/>
                <w:szCs w:val="24"/>
              </w:rPr>
              <w:t>3.06</w:t>
            </w:r>
            <w:r w:rsidR="00DC5D35">
              <w:rPr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00D7" w14:textId="77777777" w:rsidR="001E74C3" w:rsidRPr="001E74C3" w:rsidRDefault="006A2585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9FD44" w14:textId="714F0686" w:rsidR="001E74C3" w:rsidRPr="00DC5D35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  <w:lang w:val="vi-VN"/>
              </w:rPr>
            </w:pPr>
            <w:r w:rsidRPr="001E74C3">
              <w:rPr>
                <w:color w:val="000000"/>
                <w:sz w:val="24"/>
                <w:szCs w:val="24"/>
              </w:rPr>
              <w:t>165.16</w:t>
            </w:r>
            <w:r w:rsidR="00DC5D35">
              <w:rPr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E647" w14:textId="77777777" w:rsidR="001E74C3" w:rsidRPr="001E74C3" w:rsidRDefault="001E74C3" w:rsidP="00E07C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E74C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E74C3" w:rsidRPr="00314CA1" w14:paraId="267F4F5E" w14:textId="77777777" w:rsidTr="00D35CD5">
        <w:trPr>
          <w:trHeight w:val="427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678D" w14:textId="706556DD" w:rsidR="001E74C3" w:rsidRPr="00A175F0" w:rsidRDefault="00D35CD5" w:rsidP="00E07CF6">
            <w:pPr>
              <w:spacing w:after="0" w:line="240" w:lineRule="auto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Trong đó: </w:t>
            </w:r>
            <w:r w:rsidR="001E74C3" w:rsidRPr="001E74C3">
              <w:rPr>
                <w:color w:val="000000"/>
                <w:sz w:val="24"/>
                <w:szCs w:val="24"/>
              </w:rPr>
              <w:t>Chi sự nghiệp Giáo dục</w:t>
            </w:r>
          </w:p>
        </w:tc>
        <w:tc>
          <w:tcPr>
            <w:tcW w:w="13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5581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70.079</w:t>
            </w:r>
          </w:p>
        </w:tc>
        <w:tc>
          <w:tcPr>
            <w:tcW w:w="10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0211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1599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7D1A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70.079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254A" w14:textId="77777777" w:rsidR="001E74C3" w:rsidRPr="001E74C3" w:rsidRDefault="001E74C3" w:rsidP="00E07C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E74C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E74C3" w:rsidRPr="00314CA1" w14:paraId="790ACA6B" w14:textId="77777777" w:rsidTr="00D35CD5">
        <w:trPr>
          <w:trHeight w:val="4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878F" w14:textId="77777777" w:rsidR="001E74C3" w:rsidRPr="001E74C3" w:rsidRDefault="001E74C3" w:rsidP="00E07CF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3. Chi dự phòng ngân sách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84EB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2.841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EA8A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6854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D4133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2.841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AFD78" w14:textId="77777777" w:rsidR="001E74C3" w:rsidRPr="001E74C3" w:rsidRDefault="001E74C3" w:rsidP="00E07C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E74C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E74C3" w:rsidRPr="00314CA1" w14:paraId="1847476E" w14:textId="77777777" w:rsidTr="00D35CD5">
        <w:trPr>
          <w:trHeight w:val="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654E" w14:textId="5D0094E0" w:rsidR="001E74C3" w:rsidRPr="001E74C3" w:rsidRDefault="001E74C3" w:rsidP="00E07CF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 xml:space="preserve">4. Chi </w:t>
            </w:r>
            <w:r w:rsidR="00E975F7">
              <w:rPr>
                <w:color w:val="000000"/>
                <w:sz w:val="24"/>
                <w:szCs w:val="24"/>
                <w:lang w:val="vi-VN"/>
              </w:rPr>
              <w:t xml:space="preserve">từ nguồn </w:t>
            </w:r>
            <w:r w:rsidRPr="001E74C3">
              <w:rPr>
                <w:color w:val="000000"/>
                <w:sz w:val="24"/>
                <w:szCs w:val="24"/>
              </w:rPr>
              <w:t>chuyển nguồn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33AE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E8BF4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7.699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BDF4A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1F6F2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7.699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6C51" w14:textId="77777777" w:rsidR="001E74C3" w:rsidRPr="001E74C3" w:rsidRDefault="001E74C3" w:rsidP="00E07C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E74C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1E74C3" w:rsidRPr="00314CA1" w14:paraId="423B15E1" w14:textId="77777777" w:rsidTr="00D35CD5">
        <w:trPr>
          <w:trHeight w:val="40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FEF0" w14:textId="49B3A19F" w:rsidR="001E74C3" w:rsidRPr="001E74C3" w:rsidRDefault="001E74C3" w:rsidP="00E07CF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5.</w:t>
            </w:r>
            <w:r w:rsidR="00E975F7"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 w:rsidRPr="001E74C3">
              <w:rPr>
                <w:color w:val="000000"/>
                <w:sz w:val="24"/>
                <w:szCs w:val="24"/>
              </w:rPr>
              <w:t>Chi từ nguồn kết dư: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E499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1B041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5.469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7792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DA3B" w14:textId="77777777" w:rsidR="001E74C3" w:rsidRPr="001E74C3" w:rsidRDefault="001E74C3" w:rsidP="00E07CF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1E74C3">
              <w:rPr>
                <w:color w:val="000000"/>
                <w:sz w:val="24"/>
                <w:szCs w:val="24"/>
              </w:rPr>
              <w:t>5.469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DA21" w14:textId="77777777" w:rsidR="001E74C3" w:rsidRPr="001E74C3" w:rsidRDefault="001E74C3" w:rsidP="00E07CF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E74C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14:paraId="2237AF94" w14:textId="514C21A1" w:rsidR="002E004D" w:rsidRDefault="00E44464" w:rsidP="00A175F0">
      <w:pPr>
        <w:spacing w:before="80" w:after="80" w:line="340" w:lineRule="exact"/>
        <w:ind w:firstLine="709"/>
        <w:jc w:val="center"/>
        <w:rPr>
          <w:b/>
          <w:szCs w:val="28"/>
          <w:lang w:val="vi-VN"/>
        </w:rPr>
      </w:pPr>
      <w:r>
        <w:rPr>
          <w:i/>
        </w:rPr>
        <w:t>(Chi tiết tại các phụ biểu kèm theo)</w:t>
      </w:r>
    </w:p>
    <w:p w14:paraId="350AF01E" w14:textId="77777777" w:rsidR="00204CE9" w:rsidRDefault="00204CE9" w:rsidP="00B94094">
      <w:pPr>
        <w:spacing w:before="60" w:after="0" w:line="245" w:lineRule="auto"/>
        <w:ind w:firstLine="720"/>
        <w:rPr>
          <w:b/>
          <w:szCs w:val="28"/>
          <w:lang w:val="vi-VN"/>
        </w:rPr>
      </w:pPr>
    </w:p>
    <w:p w14:paraId="1D4E57E2" w14:textId="62374233" w:rsidR="00AA0232" w:rsidRPr="00E27640" w:rsidRDefault="00E44464" w:rsidP="00801B38">
      <w:pPr>
        <w:spacing w:before="60" w:after="60" w:line="276" w:lineRule="auto"/>
        <w:ind w:firstLine="567"/>
        <w:rPr>
          <w:szCs w:val="28"/>
        </w:rPr>
      </w:pPr>
      <w:r w:rsidRPr="00AA0232">
        <w:rPr>
          <w:rFonts w:hint="eastAsia"/>
          <w:b/>
          <w:szCs w:val="28"/>
          <w:lang w:val="vi-VN"/>
        </w:rPr>
        <w:lastRenderedPageBreak/>
        <w:t>Đ</w:t>
      </w:r>
      <w:r w:rsidRPr="00AA0232">
        <w:rPr>
          <w:b/>
          <w:szCs w:val="28"/>
          <w:lang w:val="vi-VN"/>
        </w:rPr>
        <w:t xml:space="preserve">iều </w:t>
      </w:r>
      <w:r w:rsidR="00885C6C" w:rsidRPr="00AA0232">
        <w:rPr>
          <w:b/>
          <w:szCs w:val="28"/>
          <w:lang w:val="vi-VN"/>
        </w:rPr>
        <w:t>2</w:t>
      </w:r>
      <w:r w:rsidRPr="00AA0232">
        <w:rPr>
          <w:b/>
          <w:szCs w:val="28"/>
          <w:lang w:val="vi-VN"/>
        </w:rPr>
        <w:t>.</w:t>
      </w:r>
      <w:r w:rsidRPr="00AA0232">
        <w:rPr>
          <w:szCs w:val="28"/>
          <w:lang w:val="vi-VN"/>
        </w:rPr>
        <w:t xml:space="preserve"> </w:t>
      </w:r>
      <w:r w:rsidR="00EB722F" w:rsidRPr="00EB722F">
        <w:rPr>
          <w:szCs w:val="28"/>
          <w:lang w:val="vi-VN"/>
        </w:rPr>
        <w:t xml:space="preserve">Các nội dung khác </w:t>
      </w:r>
      <w:r w:rsidR="00DC5D35">
        <w:rPr>
          <w:szCs w:val="28"/>
          <w:lang w:val="vi-VN"/>
        </w:rPr>
        <w:t xml:space="preserve">giữ nguyên </w:t>
      </w:r>
      <w:r w:rsidR="00EB722F" w:rsidRPr="00EB722F">
        <w:rPr>
          <w:szCs w:val="28"/>
          <w:lang w:val="vi-VN"/>
        </w:rPr>
        <w:t xml:space="preserve">của Nghị quyết số </w:t>
      </w:r>
      <w:r w:rsidR="00EB722F" w:rsidRPr="00AA0232">
        <w:rPr>
          <w:szCs w:val="28"/>
          <w:lang w:val="vi-VN"/>
        </w:rPr>
        <w:t>17/NQ-HĐND</w:t>
      </w:r>
      <w:r w:rsidR="00EB722F" w:rsidRPr="00EB722F">
        <w:rPr>
          <w:szCs w:val="28"/>
          <w:lang w:val="vi-VN"/>
        </w:rPr>
        <w:t xml:space="preserve"> ngày </w:t>
      </w:r>
      <w:r w:rsidR="00EB722F" w:rsidRPr="00AA0232">
        <w:rPr>
          <w:szCs w:val="28"/>
          <w:lang w:val="vi-VN"/>
        </w:rPr>
        <w:t>26 tháng 12 năm 2025</w:t>
      </w:r>
      <w:r w:rsidR="00EB722F" w:rsidRPr="00EB722F">
        <w:rPr>
          <w:szCs w:val="28"/>
          <w:lang w:val="vi-VN"/>
        </w:rPr>
        <w:t xml:space="preserve"> của </w:t>
      </w:r>
      <w:r w:rsidR="00EB722F" w:rsidRPr="00AA0232">
        <w:rPr>
          <w:szCs w:val="28"/>
          <w:lang w:val="vi-VN"/>
        </w:rPr>
        <w:t>Hội đồng nhân dân p</w:t>
      </w:r>
      <w:r w:rsidR="006E061D">
        <w:rPr>
          <w:szCs w:val="28"/>
        </w:rPr>
        <w:t>h</w:t>
      </w:r>
      <w:r w:rsidR="00EB722F" w:rsidRPr="00AA0232">
        <w:rPr>
          <w:szCs w:val="28"/>
          <w:lang w:val="vi-VN"/>
        </w:rPr>
        <w:t>ường Hải Ninh</w:t>
      </w:r>
      <w:r w:rsidR="00EB722F" w:rsidRPr="00EB722F">
        <w:rPr>
          <w:szCs w:val="28"/>
          <w:lang w:val="vi-VN"/>
        </w:rPr>
        <w:t xml:space="preserve"> </w:t>
      </w:r>
      <w:r w:rsidR="004D0DAA">
        <w:rPr>
          <w:szCs w:val="28"/>
        </w:rPr>
        <w:t>về p</w:t>
      </w:r>
      <w:r w:rsidR="00AA0232" w:rsidRPr="00AA0232">
        <w:rPr>
          <w:szCs w:val="28"/>
          <w:lang w:val="vi-VN"/>
        </w:rPr>
        <w:t>hân bổ và giao dự toán thu, chi ngân sách nhà nước năm 2026</w:t>
      </w:r>
      <w:r w:rsidR="00E27640">
        <w:rPr>
          <w:szCs w:val="28"/>
        </w:rPr>
        <w:t>.</w:t>
      </w:r>
    </w:p>
    <w:p w14:paraId="09101778" w14:textId="0DB67A8F" w:rsidR="00E44464" w:rsidRPr="001503AA" w:rsidRDefault="00F951DE" w:rsidP="00801B38">
      <w:pPr>
        <w:spacing w:before="60" w:after="60" w:line="276" w:lineRule="auto"/>
        <w:ind w:firstLine="567"/>
        <w:rPr>
          <w:b/>
          <w:szCs w:val="28"/>
          <w:lang w:val="vi-VN"/>
        </w:rPr>
      </w:pPr>
      <w:r w:rsidRPr="00CB1D1C">
        <w:rPr>
          <w:b/>
          <w:szCs w:val="28"/>
        </w:rPr>
        <w:t>Điều 3.</w:t>
      </w:r>
      <w:r>
        <w:rPr>
          <w:szCs w:val="28"/>
        </w:rPr>
        <w:t xml:space="preserve"> </w:t>
      </w:r>
      <w:r w:rsidR="00E44464" w:rsidRPr="00434616">
        <w:rPr>
          <w:szCs w:val="28"/>
          <w:lang w:val="vi-VN"/>
        </w:rPr>
        <w:t>Tổ chức thực hiện</w:t>
      </w:r>
      <w:r w:rsidR="00E44464" w:rsidRPr="001503AA">
        <w:rPr>
          <w:b/>
          <w:szCs w:val="28"/>
          <w:lang w:val="vi-VN"/>
        </w:rPr>
        <w:t xml:space="preserve"> </w:t>
      </w:r>
    </w:p>
    <w:p w14:paraId="3CAC39D9" w14:textId="77777777" w:rsidR="00CB1D1C" w:rsidRDefault="00D35CD5" w:rsidP="00801B38">
      <w:pPr>
        <w:spacing w:before="60" w:after="60" w:line="276" w:lineRule="auto"/>
        <w:ind w:firstLine="567"/>
        <w:rPr>
          <w:szCs w:val="28"/>
        </w:rPr>
      </w:pPr>
      <w:r w:rsidRPr="00D35CD5">
        <w:rPr>
          <w:szCs w:val="28"/>
          <w:lang w:val="vi-VN"/>
        </w:rPr>
        <w:t xml:space="preserve">1. </w:t>
      </w:r>
      <w:r w:rsidR="00CB1D1C">
        <w:rPr>
          <w:szCs w:val="28"/>
        </w:rPr>
        <w:t xml:space="preserve">Giao </w:t>
      </w:r>
      <w:r w:rsidRPr="00D35CD5">
        <w:rPr>
          <w:szCs w:val="28"/>
          <w:lang w:val="vi-VN"/>
        </w:rPr>
        <w:t xml:space="preserve">Ủy ban nhân dân phường </w:t>
      </w:r>
      <w:r w:rsidR="00CB1D1C">
        <w:rPr>
          <w:szCs w:val="28"/>
        </w:rPr>
        <w:t xml:space="preserve">căn cứ Nghị quyết này để </w:t>
      </w:r>
      <w:r w:rsidRPr="00D35CD5">
        <w:rPr>
          <w:szCs w:val="28"/>
          <w:lang w:val="vi-VN"/>
        </w:rPr>
        <w:t xml:space="preserve">thực hiện </w:t>
      </w:r>
      <w:r w:rsidR="00CB1D1C">
        <w:rPr>
          <w:szCs w:val="28"/>
        </w:rPr>
        <w:t xml:space="preserve">nhiệm vụ thu, chi ngân sách có hiệu quả, tiết kiệm, theo đúng Luật Ngân sách Nhà nước. </w:t>
      </w:r>
    </w:p>
    <w:p w14:paraId="4219552C" w14:textId="65E8B820" w:rsidR="00E44464" w:rsidRPr="0030328A" w:rsidRDefault="00CB1D1C" w:rsidP="00801B38">
      <w:pPr>
        <w:spacing w:before="60" w:after="60" w:line="276" w:lineRule="auto"/>
        <w:ind w:firstLine="567"/>
        <w:rPr>
          <w:szCs w:val="28"/>
          <w:lang w:val="nl-NL"/>
        </w:rPr>
      </w:pPr>
      <w:r>
        <w:rPr>
          <w:szCs w:val="28"/>
          <w:lang w:val="nl-NL"/>
        </w:rPr>
        <w:t>2</w:t>
      </w:r>
      <w:r w:rsidR="00E44464" w:rsidRPr="0030328A">
        <w:rPr>
          <w:szCs w:val="28"/>
          <w:lang w:val="nl-NL"/>
        </w:rPr>
        <w:t xml:space="preserve">. </w:t>
      </w:r>
      <w:r w:rsidR="00575D02">
        <w:rPr>
          <w:szCs w:val="28"/>
          <w:lang w:val="nl-NL"/>
        </w:rPr>
        <w:t xml:space="preserve">Giao </w:t>
      </w:r>
      <w:r w:rsidR="00E44464" w:rsidRPr="0030328A">
        <w:rPr>
          <w:szCs w:val="28"/>
          <w:lang w:val="nl-NL"/>
        </w:rPr>
        <w:t xml:space="preserve">Thường trực Hội đồng nhân dân, các ban Hội đồng nhân dân, tổ đại biểu và </w:t>
      </w:r>
      <w:r w:rsidR="00575D02">
        <w:rPr>
          <w:szCs w:val="28"/>
          <w:lang w:val="nl-NL"/>
        </w:rPr>
        <w:t xml:space="preserve">các </w:t>
      </w:r>
      <w:r w:rsidR="00E44464" w:rsidRPr="0030328A">
        <w:rPr>
          <w:szCs w:val="28"/>
          <w:lang w:val="nl-NL"/>
        </w:rPr>
        <w:t xml:space="preserve">đại biểu Hội đồng nhân dân phường </w:t>
      </w:r>
      <w:r w:rsidR="000E65B8">
        <w:rPr>
          <w:szCs w:val="28"/>
          <w:lang w:val="nl-NL"/>
        </w:rPr>
        <w:t xml:space="preserve">trong phạm vi, nhiệm vụ, quyền hạn </w:t>
      </w:r>
      <w:r w:rsidR="00E44464" w:rsidRPr="0030328A">
        <w:rPr>
          <w:szCs w:val="28"/>
          <w:lang w:val="nl-NL"/>
        </w:rPr>
        <w:t>giám sát việc</w:t>
      </w:r>
      <w:r w:rsidR="000E65B8">
        <w:rPr>
          <w:szCs w:val="28"/>
          <w:lang w:val="nl-NL"/>
        </w:rPr>
        <w:t xml:space="preserve"> triển khai</w:t>
      </w:r>
      <w:r w:rsidR="00E44464" w:rsidRPr="0030328A">
        <w:rPr>
          <w:szCs w:val="28"/>
          <w:lang w:val="nl-NL"/>
        </w:rPr>
        <w:t xml:space="preserve"> thực hiện Nghị quyết.</w:t>
      </w:r>
    </w:p>
    <w:p w14:paraId="60E54123" w14:textId="6A6EA8D4" w:rsidR="00E44464" w:rsidRPr="00825802" w:rsidRDefault="00E44464" w:rsidP="00801B38">
      <w:pPr>
        <w:spacing w:before="60" w:after="60" w:line="276" w:lineRule="auto"/>
        <w:ind w:firstLine="567"/>
        <w:rPr>
          <w:rFonts w:ascii="Times New Roman Italic" w:hAnsi="Times New Roman Italic"/>
          <w:i/>
          <w:szCs w:val="28"/>
          <w:lang w:val="vi-VN"/>
        </w:rPr>
      </w:pPr>
      <w:r w:rsidRPr="00825802">
        <w:rPr>
          <w:rFonts w:ascii="Times New Roman Italic" w:hAnsi="Times New Roman Italic"/>
          <w:i/>
          <w:szCs w:val="28"/>
          <w:lang w:val="nl-NL"/>
        </w:rPr>
        <w:t xml:space="preserve">Nghị quyết này được Hội đồng nhân dân phường </w:t>
      </w:r>
      <w:r w:rsidR="00167D21" w:rsidRPr="00825802">
        <w:rPr>
          <w:rFonts w:ascii="Times New Roman Italic" w:hAnsi="Times New Roman Italic"/>
          <w:i/>
          <w:szCs w:val="28"/>
          <w:lang w:val="nl-NL"/>
        </w:rPr>
        <w:t xml:space="preserve">Hải Ninh khóa </w:t>
      </w:r>
      <w:r w:rsidR="00167D21" w:rsidRPr="00825802">
        <w:rPr>
          <w:rFonts w:ascii="Times New Roman Italic" w:hAnsi="Times New Roman Italic"/>
          <w:i/>
          <w:szCs w:val="28"/>
          <w:lang w:val="vi-VN"/>
        </w:rPr>
        <w:t>I</w:t>
      </w:r>
      <w:r w:rsidRPr="00825802">
        <w:rPr>
          <w:rFonts w:ascii="Times New Roman Italic" w:hAnsi="Times New Roman Italic"/>
          <w:i/>
          <w:szCs w:val="28"/>
          <w:lang w:val="nl-NL"/>
        </w:rPr>
        <w:t xml:space="preserve">I, </w:t>
      </w:r>
      <w:r w:rsidR="000E65B8">
        <w:rPr>
          <w:rFonts w:ascii="Times New Roman Italic" w:hAnsi="Times New Roman Italic"/>
          <w:i/>
          <w:szCs w:val="28"/>
          <w:lang w:val="nl-NL"/>
        </w:rPr>
        <w:t>k</w:t>
      </w:r>
      <w:r w:rsidRPr="00825802">
        <w:rPr>
          <w:rFonts w:ascii="Times New Roman Italic" w:hAnsi="Times New Roman Italic"/>
          <w:i/>
          <w:szCs w:val="28"/>
          <w:lang w:val="nl-NL"/>
        </w:rPr>
        <w:t xml:space="preserve">ỳ họp thứ </w:t>
      </w:r>
      <w:r w:rsidR="001E74C3" w:rsidRPr="00825802">
        <w:rPr>
          <w:rFonts w:ascii="Times New Roman Italic" w:hAnsi="Times New Roman Italic"/>
          <w:i/>
          <w:szCs w:val="28"/>
          <w:lang w:val="nl-NL"/>
        </w:rPr>
        <w:t>2</w:t>
      </w:r>
      <w:r w:rsidR="00167D21" w:rsidRPr="00825802">
        <w:rPr>
          <w:rFonts w:ascii="Times New Roman Italic" w:hAnsi="Times New Roman Italic"/>
          <w:i/>
          <w:szCs w:val="28"/>
          <w:lang w:val="vi-VN"/>
        </w:rPr>
        <w:t xml:space="preserve"> </w:t>
      </w:r>
      <w:r w:rsidRPr="00825802">
        <w:rPr>
          <w:rFonts w:ascii="Times New Roman Italic" w:hAnsi="Times New Roman Italic"/>
          <w:i/>
          <w:szCs w:val="28"/>
          <w:lang w:val="nl-NL"/>
        </w:rPr>
        <w:t xml:space="preserve">thông qua ngày </w:t>
      </w:r>
      <w:r w:rsidR="00167D21" w:rsidRPr="00825802">
        <w:rPr>
          <w:rFonts w:ascii="Times New Roman Italic" w:hAnsi="Times New Roman Italic"/>
          <w:i/>
          <w:szCs w:val="28"/>
          <w:lang w:val="vi-VN"/>
        </w:rPr>
        <w:t>29</w:t>
      </w:r>
      <w:r w:rsidRPr="00825802">
        <w:rPr>
          <w:rFonts w:ascii="Times New Roman Italic" w:hAnsi="Times New Roman Italic"/>
          <w:i/>
          <w:szCs w:val="28"/>
          <w:lang w:val="nl-NL"/>
        </w:rPr>
        <w:t xml:space="preserve"> tháng </w:t>
      </w:r>
      <w:r w:rsidR="00167D21" w:rsidRPr="00825802">
        <w:rPr>
          <w:rFonts w:ascii="Times New Roman Italic" w:hAnsi="Times New Roman Italic"/>
          <w:i/>
          <w:szCs w:val="28"/>
          <w:lang w:val="vi-VN"/>
        </w:rPr>
        <w:t>6</w:t>
      </w:r>
      <w:r w:rsidRPr="00825802">
        <w:rPr>
          <w:rFonts w:ascii="Times New Roman Italic" w:hAnsi="Times New Roman Italic"/>
          <w:i/>
          <w:szCs w:val="28"/>
          <w:lang w:val="nl-NL"/>
        </w:rPr>
        <w:t xml:space="preserve"> </w:t>
      </w:r>
      <w:r w:rsidR="00FE36E3" w:rsidRPr="00825802">
        <w:rPr>
          <w:rFonts w:ascii="Times New Roman Italic" w:hAnsi="Times New Roman Italic"/>
          <w:i/>
          <w:szCs w:val="28"/>
          <w:lang w:val="nl-NL"/>
        </w:rPr>
        <w:t>năm 2026</w:t>
      </w:r>
      <w:r w:rsidR="00167D21" w:rsidRPr="00825802">
        <w:rPr>
          <w:rFonts w:ascii="Times New Roman Italic" w:hAnsi="Times New Roman Italic"/>
          <w:i/>
          <w:szCs w:val="28"/>
          <w:lang w:val="vi-VN"/>
        </w:rPr>
        <w:t xml:space="preserve"> </w:t>
      </w:r>
      <w:r w:rsidR="00167D21" w:rsidRPr="00825802">
        <w:rPr>
          <w:rFonts w:ascii="Times New Roman Italic" w:hAnsi="Times New Roman Italic"/>
          <w:i/>
          <w:szCs w:val="28"/>
          <w:lang w:val="nl-NL"/>
        </w:rPr>
        <w:t>và có hiệu lự</w:t>
      </w:r>
      <w:r w:rsidR="001E052C" w:rsidRPr="00825802">
        <w:rPr>
          <w:rFonts w:ascii="Times New Roman Italic" w:hAnsi="Times New Roman Italic"/>
          <w:i/>
          <w:szCs w:val="28"/>
          <w:lang w:val="nl-NL"/>
        </w:rPr>
        <w:t>c</w:t>
      </w:r>
      <w:r w:rsidR="00167D21" w:rsidRPr="00825802">
        <w:rPr>
          <w:rFonts w:ascii="Times New Roman Italic" w:hAnsi="Times New Roman Italic"/>
          <w:i/>
          <w:szCs w:val="28"/>
          <w:lang w:val="nl-NL"/>
        </w:rPr>
        <w:t xml:space="preserve"> từ ngày </w:t>
      </w:r>
      <w:r w:rsidR="00A175F0" w:rsidRPr="00825802">
        <w:rPr>
          <w:rFonts w:ascii="Times New Roman Italic" w:hAnsi="Times New Roman Italic"/>
          <w:i/>
          <w:szCs w:val="28"/>
          <w:lang w:val="vi-VN"/>
        </w:rPr>
        <w:t>ký</w:t>
      </w:r>
      <w:r w:rsidR="007B5ECA" w:rsidRPr="00825802">
        <w:rPr>
          <w:rFonts w:ascii="Times New Roman Italic" w:hAnsi="Times New Roman Italic"/>
          <w:i/>
          <w:szCs w:val="28"/>
        </w:rPr>
        <w:t xml:space="preserve"> ban hành</w:t>
      </w:r>
      <w:r w:rsidR="00167D21" w:rsidRPr="00825802">
        <w:rPr>
          <w:rFonts w:ascii="Times New Roman Italic" w:hAnsi="Times New Roman Italic"/>
          <w:i/>
          <w:szCs w:val="28"/>
          <w:lang w:val="nl-NL"/>
        </w:rPr>
        <w:t>./.</w:t>
      </w:r>
      <w:r w:rsidR="00167D21" w:rsidRPr="00825802">
        <w:rPr>
          <w:rFonts w:ascii="Times New Roman Italic" w:hAnsi="Times New Roman Italic"/>
          <w:i/>
          <w:szCs w:val="28"/>
          <w:lang w:val="vi-VN"/>
        </w:rPr>
        <w:t xml:space="preserve"> </w:t>
      </w:r>
    </w:p>
    <w:p w14:paraId="5600D8D8" w14:textId="77777777" w:rsidR="000B195B" w:rsidRPr="001C1AFE" w:rsidRDefault="000B195B" w:rsidP="000B195B">
      <w:pPr>
        <w:spacing w:after="60" w:line="240" w:lineRule="auto"/>
        <w:ind w:firstLine="720"/>
        <w:rPr>
          <w:sz w:val="10"/>
          <w:szCs w:val="10"/>
          <w:lang w:val="vi-VN"/>
        </w:rPr>
      </w:pPr>
    </w:p>
    <w:tbl>
      <w:tblPr>
        <w:tblW w:w="4848" w:type="pct"/>
        <w:tblInd w:w="284" w:type="dxa"/>
        <w:tblLook w:val="00A0" w:firstRow="1" w:lastRow="0" w:firstColumn="1" w:lastColumn="0" w:noHBand="0" w:noVBand="0"/>
      </w:tblPr>
      <w:tblGrid>
        <w:gridCol w:w="4676"/>
        <w:gridCol w:w="4120"/>
      </w:tblGrid>
      <w:tr w:rsidR="000B195B" w:rsidRPr="0030328A" w14:paraId="59CC5F6C" w14:textId="77777777" w:rsidTr="00706914">
        <w:tc>
          <w:tcPr>
            <w:tcW w:w="2658" w:type="pct"/>
          </w:tcPr>
          <w:p w14:paraId="798BBD58" w14:textId="77777777" w:rsidR="000B195B" w:rsidRDefault="000B195B" w:rsidP="00706914">
            <w:pPr>
              <w:spacing w:after="0" w:line="240" w:lineRule="auto"/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 w:eastAsia="en-GB"/>
              </w:rPr>
            </w:pPr>
            <w:r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 w:eastAsia="en-GB"/>
              </w:rPr>
              <w:t>Nơi nhận:</w:t>
            </w:r>
          </w:p>
          <w:p w14:paraId="00EBC1DF" w14:textId="77777777" w:rsidR="000B195B" w:rsidRPr="0030328A" w:rsidRDefault="000B195B" w:rsidP="00706914">
            <w:pPr>
              <w:spacing w:after="0" w:line="240" w:lineRule="auto"/>
              <w:rPr>
                <w:sz w:val="22"/>
                <w:lang w:val="vi-VN"/>
              </w:rPr>
            </w:pPr>
            <w:r w:rsidRPr="0030328A">
              <w:rPr>
                <w:sz w:val="22"/>
                <w:lang w:val="vi-VN"/>
              </w:rPr>
              <w:t>- Thường trực HĐND tỉnh;</w:t>
            </w:r>
          </w:p>
          <w:p w14:paraId="6F7946E0" w14:textId="77777777" w:rsidR="000B195B" w:rsidRPr="0030328A" w:rsidRDefault="000B195B" w:rsidP="00706914">
            <w:pPr>
              <w:spacing w:after="0" w:line="240" w:lineRule="auto"/>
              <w:rPr>
                <w:sz w:val="22"/>
                <w:lang w:val="vi-VN"/>
              </w:rPr>
            </w:pPr>
            <w:r w:rsidRPr="0030328A">
              <w:rPr>
                <w:sz w:val="22"/>
                <w:lang w:val="vi-VN"/>
              </w:rPr>
              <w:t>- Văn phòng Đoàn ĐBQH và HĐND tỉnh;</w:t>
            </w:r>
          </w:p>
          <w:p w14:paraId="1AA0E86E" w14:textId="77777777" w:rsidR="000B195B" w:rsidRPr="0030328A" w:rsidRDefault="000B195B" w:rsidP="00706914">
            <w:pPr>
              <w:spacing w:after="0" w:line="240" w:lineRule="auto"/>
              <w:rPr>
                <w:sz w:val="22"/>
                <w:lang w:val="vi-VN"/>
              </w:rPr>
            </w:pPr>
            <w:r w:rsidRPr="0030328A">
              <w:rPr>
                <w:sz w:val="22"/>
                <w:lang w:val="vi-VN"/>
              </w:rPr>
              <w:t>- Văn phòng UBND tỉnh;</w:t>
            </w:r>
          </w:p>
          <w:p w14:paraId="2A0175F1" w14:textId="77777777" w:rsidR="000B195B" w:rsidRPr="0030328A" w:rsidRDefault="000B195B" w:rsidP="00706914">
            <w:pPr>
              <w:spacing w:after="0" w:line="240" w:lineRule="auto"/>
              <w:rPr>
                <w:sz w:val="22"/>
                <w:lang w:val="vi-VN"/>
              </w:rPr>
            </w:pPr>
            <w:r w:rsidRPr="0030328A">
              <w:rPr>
                <w:sz w:val="22"/>
                <w:lang w:val="vi-VN"/>
              </w:rPr>
              <w:t>- Sở Tài chính;</w:t>
            </w:r>
          </w:p>
          <w:p w14:paraId="151657F3" w14:textId="77777777" w:rsidR="000B195B" w:rsidRPr="0030328A" w:rsidRDefault="000B195B" w:rsidP="00706914">
            <w:pPr>
              <w:spacing w:after="0" w:line="240" w:lineRule="auto"/>
              <w:rPr>
                <w:sz w:val="22"/>
                <w:lang w:val="vi-VN"/>
              </w:rPr>
            </w:pPr>
            <w:r w:rsidRPr="0030328A">
              <w:rPr>
                <w:sz w:val="22"/>
                <w:lang w:val="vi-VN"/>
              </w:rPr>
              <w:t>- Thường trực Đảng ủy - HĐND phường;</w:t>
            </w:r>
          </w:p>
          <w:p w14:paraId="1538BE00" w14:textId="77777777" w:rsidR="000B195B" w:rsidRPr="0030328A" w:rsidRDefault="000B195B" w:rsidP="00706914">
            <w:pPr>
              <w:spacing w:after="0" w:line="240" w:lineRule="auto"/>
              <w:rPr>
                <w:sz w:val="22"/>
                <w:lang w:val="vi-VN"/>
              </w:rPr>
            </w:pPr>
            <w:r w:rsidRPr="0030328A">
              <w:rPr>
                <w:sz w:val="22"/>
                <w:lang w:val="vi-VN"/>
              </w:rPr>
              <w:t>- Chủ tịch, các PCT UBND phường;</w:t>
            </w:r>
          </w:p>
          <w:p w14:paraId="3CDDCCBC" w14:textId="77777777" w:rsidR="000B195B" w:rsidRPr="0030328A" w:rsidRDefault="000B195B" w:rsidP="00706914">
            <w:pPr>
              <w:spacing w:after="0" w:line="240" w:lineRule="auto"/>
              <w:rPr>
                <w:sz w:val="22"/>
                <w:lang w:val="vi-VN"/>
              </w:rPr>
            </w:pPr>
            <w:r w:rsidRPr="0030328A">
              <w:rPr>
                <w:sz w:val="22"/>
                <w:lang w:val="vi-VN"/>
              </w:rPr>
              <w:t>- Các Ban HĐND phường;</w:t>
            </w:r>
          </w:p>
          <w:p w14:paraId="33F761B0" w14:textId="02CC4779" w:rsidR="00167D21" w:rsidRPr="0030328A" w:rsidRDefault="000B195B" w:rsidP="00706914">
            <w:pPr>
              <w:spacing w:after="0" w:line="240" w:lineRule="auto"/>
              <w:rPr>
                <w:sz w:val="22"/>
                <w:lang w:val="vi-VN"/>
              </w:rPr>
            </w:pPr>
            <w:r w:rsidRPr="0030328A">
              <w:rPr>
                <w:sz w:val="22"/>
                <w:lang w:val="vi-VN"/>
              </w:rPr>
              <w:t>- Các Tổ đại biểu HĐND phường;</w:t>
            </w:r>
          </w:p>
          <w:p w14:paraId="4A908D90" w14:textId="77777777" w:rsidR="000B195B" w:rsidRPr="0030328A" w:rsidRDefault="000B195B" w:rsidP="00706914">
            <w:pPr>
              <w:spacing w:after="0" w:line="240" w:lineRule="auto"/>
              <w:rPr>
                <w:sz w:val="22"/>
                <w:lang w:val="vi-VN"/>
              </w:rPr>
            </w:pPr>
            <w:r w:rsidRPr="0030328A">
              <w:rPr>
                <w:sz w:val="22"/>
                <w:lang w:val="vi-VN"/>
              </w:rPr>
              <w:t>- Các vị Đại biểu HĐND phường;</w:t>
            </w:r>
          </w:p>
          <w:p w14:paraId="2693AF19" w14:textId="77777777" w:rsidR="000B195B" w:rsidRPr="0030328A" w:rsidRDefault="000B195B" w:rsidP="00706914">
            <w:pPr>
              <w:spacing w:after="0" w:line="240" w:lineRule="auto"/>
              <w:rPr>
                <w:sz w:val="22"/>
                <w:lang w:val="vi-VN"/>
              </w:rPr>
            </w:pPr>
            <w:r w:rsidRPr="0030328A">
              <w:rPr>
                <w:sz w:val="22"/>
                <w:lang w:val="vi-VN"/>
              </w:rPr>
              <w:t>- Các đơn vị dự toán;</w:t>
            </w:r>
          </w:p>
          <w:p w14:paraId="0AB10723" w14:textId="3D2DBD6C" w:rsidR="000B195B" w:rsidRPr="0030328A" w:rsidRDefault="000B195B" w:rsidP="00706914">
            <w:pPr>
              <w:spacing w:after="0" w:line="240" w:lineRule="auto"/>
              <w:rPr>
                <w:sz w:val="22"/>
                <w:lang w:val="vi-VN"/>
              </w:rPr>
            </w:pPr>
            <w:r w:rsidRPr="0030328A">
              <w:rPr>
                <w:sz w:val="22"/>
                <w:lang w:val="vi-VN"/>
              </w:rPr>
              <w:t>- Lưu: VT</w:t>
            </w:r>
            <w:r w:rsidR="00167D21">
              <w:rPr>
                <w:sz w:val="22"/>
                <w:lang w:val="vi-VN"/>
              </w:rPr>
              <w:t xml:space="preserve">, </w:t>
            </w:r>
            <w:r w:rsidR="00167D21" w:rsidRPr="00167D21">
              <w:rPr>
                <w:sz w:val="22"/>
                <w:lang w:val="vi-VN"/>
              </w:rPr>
              <w:t>Ban KT-NS, NĐT.</w:t>
            </w:r>
          </w:p>
          <w:p w14:paraId="446B6DE8" w14:textId="14981240" w:rsidR="000B195B" w:rsidRPr="0030328A" w:rsidRDefault="000B195B" w:rsidP="00706914">
            <w:pPr>
              <w:spacing w:after="0" w:line="240" w:lineRule="auto"/>
              <w:rPr>
                <w:rFonts w:eastAsia="Times New Roman" w:cs="Times New Roman"/>
                <w:noProof/>
                <w:szCs w:val="28"/>
                <w:lang w:val="vi-VN" w:eastAsia="en-GB"/>
              </w:rPr>
            </w:pPr>
            <w:r w:rsidRPr="0030328A">
              <w:rPr>
                <w:i/>
                <w:sz w:val="22"/>
                <w:lang w:val="vi-VN"/>
              </w:rPr>
              <w:t>Gửi: Văn bản giấy và điện tử.</w:t>
            </w:r>
            <w:r w:rsidR="00167D21">
              <w:rPr>
                <w:i/>
                <w:sz w:val="22"/>
                <w:lang w:val="vi-VN"/>
              </w:rPr>
              <w:t>/.</w:t>
            </w:r>
          </w:p>
        </w:tc>
        <w:tc>
          <w:tcPr>
            <w:tcW w:w="2342" w:type="pct"/>
          </w:tcPr>
          <w:p w14:paraId="68642CDA" w14:textId="77777777" w:rsidR="000B195B" w:rsidRPr="0030328A" w:rsidRDefault="000B195B" w:rsidP="00706914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  <w:r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  <w:t>CHỦ TỊCH</w:t>
            </w:r>
          </w:p>
          <w:p w14:paraId="6619A3A6" w14:textId="77777777" w:rsidR="000B195B" w:rsidRPr="0030328A" w:rsidRDefault="000B195B" w:rsidP="00706914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00A80C32" w14:textId="77777777" w:rsidR="000B195B" w:rsidRPr="0030328A" w:rsidRDefault="000B195B" w:rsidP="00706914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49E89B6D" w14:textId="77777777" w:rsidR="000B195B" w:rsidRDefault="000B195B" w:rsidP="00706914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3A02BC2B" w14:textId="77777777" w:rsidR="00D55CAD" w:rsidRPr="0030328A" w:rsidRDefault="00D55CAD" w:rsidP="00706914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7B9F8674" w14:textId="77777777" w:rsidR="000B195B" w:rsidRPr="0030328A" w:rsidRDefault="000B195B" w:rsidP="00706914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 w:val="14"/>
                <w:szCs w:val="28"/>
                <w:lang w:val="vi-VN" w:eastAsia="en-GB"/>
              </w:rPr>
            </w:pPr>
          </w:p>
          <w:p w14:paraId="31F5FDFD" w14:textId="77777777" w:rsidR="000B195B" w:rsidRPr="0030328A" w:rsidRDefault="000B195B" w:rsidP="00706914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451D917A" w14:textId="77777777" w:rsidR="000B195B" w:rsidRPr="0030328A" w:rsidRDefault="000B195B" w:rsidP="00706914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val="vi-VN" w:eastAsia="en-GB"/>
              </w:rPr>
            </w:pPr>
          </w:p>
          <w:p w14:paraId="1A62C280" w14:textId="77777777" w:rsidR="000B195B" w:rsidRPr="00C33BE5" w:rsidRDefault="000B195B" w:rsidP="00706914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  <w:szCs w:val="28"/>
                <w:lang w:eastAsia="en-GB"/>
              </w:rPr>
            </w:pPr>
            <w:r w:rsidRPr="00C33BE5">
              <w:rPr>
                <w:rFonts w:eastAsia="Times New Roman" w:cs="Times New Roman"/>
                <w:b/>
                <w:noProof/>
                <w:szCs w:val="28"/>
                <w:lang w:eastAsia="en-GB"/>
              </w:rPr>
              <w:t>Nguyễn Huy Trọng</w:t>
            </w:r>
          </w:p>
        </w:tc>
      </w:tr>
    </w:tbl>
    <w:p w14:paraId="1075918C" w14:textId="77777777" w:rsidR="000B195B" w:rsidRDefault="000B195B">
      <w:pPr>
        <w:spacing w:before="80" w:after="80" w:line="340" w:lineRule="exact"/>
        <w:ind w:firstLine="720"/>
        <w:rPr>
          <w:szCs w:val="28"/>
        </w:rPr>
      </w:pPr>
    </w:p>
    <w:p w14:paraId="095D5D23" w14:textId="77777777" w:rsidR="001D2317" w:rsidRDefault="001D2317">
      <w:pPr>
        <w:rPr>
          <w:rFonts w:cs="Times New Roman"/>
          <w:sz w:val="2"/>
          <w:szCs w:val="2"/>
        </w:rPr>
      </w:pPr>
    </w:p>
    <w:sectPr w:rsidR="001D2317" w:rsidSect="002F0D0C">
      <w:headerReference w:type="default" r:id="rId7"/>
      <w:footerReference w:type="default" r:id="rId8"/>
      <w:type w:val="continuous"/>
      <w:pgSz w:w="11907" w:h="16839" w:code="9"/>
      <w:pgMar w:top="1134" w:right="1134" w:bottom="1134" w:left="1701" w:header="720" w:footer="6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7982" w14:textId="77777777" w:rsidR="00D700A7" w:rsidRDefault="00D700A7">
      <w:pPr>
        <w:spacing w:after="0" w:line="240" w:lineRule="auto"/>
      </w:pPr>
      <w:r>
        <w:separator/>
      </w:r>
    </w:p>
  </w:endnote>
  <w:endnote w:type="continuationSeparator" w:id="0">
    <w:p w14:paraId="5999EE0E" w14:textId="77777777" w:rsidR="00D700A7" w:rsidRDefault="00D7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4372" w14:textId="77777777" w:rsidR="001D2317" w:rsidRDefault="001D231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6AB7" w14:textId="77777777" w:rsidR="00D700A7" w:rsidRDefault="00D700A7">
      <w:pPr>
        <w:spacing w:after="0" w:line="240" w:lineRule="auto"/>
      </w:pPr>
      <w:r>
        <w:separator/>
      </w:r>
    </w:p>
  </w:footnote>
  <w:footnote w:type="continuationSeparator" w:id="0">
    <w:p w14:paraId="05D195FA" w14:textId="77777777" w:rsidR="00D700A7" w:rsidRDefault="00D70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06658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F5073A" w14:textId="3302402F" w:rsidR="001D2317" w:rsidRDefault="008A642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B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23227F" w14:textId="77777777" w:rsidR="001D2317" w:rsidRDefault="001D23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17"/>
    <w:rsid w:val="00025EB8"/>
    <w:rsid w:val="00026A3D"/>
    <w:rsid w:val="00043283"/>
    <w:rsid w:val="00044809"/>
    <w:rsid w:val="000605AC"/>
    <w:rsid w:val="00062651"/>
    <w:rsid w:val="00067530"/>
    <w:rsid w:val="00092449"/>
    <w:rsid w:val="000B195B"/>
    <w:rsid w:val="000C76CD"/>
    <w:rsid w:val="000E65B8"/>
    <w:rsid w:val="000F2C53"/>
    <w:rsid w:val="001034EE"/>
    <w:rsid w:val="00105517"/>
    <w:rsid w:val="0013764F"/>
    <w:rsid w:val="001471D7"/>
    <w:rsid w:val="001504A0"/>
    <w:rsid w:val="00164C47"/>
    <w:rsid w:val="00166099"/>
    <w:rsid w:val="00167D21"/>
    <w:rsid w:val="00167F3F"/>
    <w:rsid w:val="00181FAD"/>
    <w:rsid w:val="00194AE6"/>
    <w:rsid w:val="001969C3"/>
    <w:rsid w:val="001B2F68"/>
    <w:rsid w:val="001D15B5"/>
    <w:rsid w:val="001D2317"/>
    <w:rsid w:val="001E052C"/>
    <w:rsid w:val="001E74C3"/>
    <w:rsid w:val="00204CE9"/>
    <w:rsid w:val="00231EA0"/>
    <w:rsid w:val="00231EBB"/>
    <w:rsid w:val="00233C17"/>
    <w:rsid w:val="00241D6D"/>
    <w:rsid w:val="00256E7E"/>
    <w:rsid w:val="0028748E"/>
    <w:rsid w:val="00291D51"/>
    <w:rsid w:val="002A5E66"/>
    <w:rsid w:val="002D7B5E"/>
    <w:rsid w:val="002E004D"/>
    <w:rsid w:val="002F0D0C"/>
    <w:rsid w:val="002F6CD1"/>
    <w:rsid w:val="00314CA1"/>
    <w:rsid w:val="003300FC"/>
    <w:rsid w:val="00331897"/>
    <w:rsid w:val="00340917"/>
    <w:rsid w:val="0035270B"/>
    <w:rsid w:val="003601AC"/>
    <w:rsid w:val="003670C5"/>
    <w:rsid w:val="00367685"/>
    <w:rsid w:val="00376E6A"/>
    <w:rsid w:val="0037781B"/>
    <w:rsid w:val="003803C3"/>
    <w:rsid w:val="0038214D"/>
    <w:rsid w:val="003862D4"/>
    <w:rsid w:val="00395E6F"/>
    <w:rsid w:val="003A0762"/>
    <w:rsid w:val="003A4EA4"/>
    <w:rsid w:val="003B7C5C"/>
    <w:rsid w:val="003C7BC6"/>
    <w:rsid w:val="003E38D9"/>
    <w:rsid w:val="00416D5D"/>
    <w:rsid w:val="004171CA"/>
    <w:rsid w:val="004323DD"/>
    <w:rsid w:val="00432A34"/>
    <w:rsid w:val="00434616"/>
    <w:rsid w:val="00456736"/>
    <w:rsid w:val="00457300"/>
    <w:rsid w:val="00457D8E"/>
    <w:rsid w:val="00466C41"/>
    <w:rsid w:val="00472A3E"/>
    <w:rsid w:val="004737F7"/>
    <w:rsid w:val="00482206"/>
    <w:rsid w:val="004826E7"/>
    <w:rsid w:val="00494A9B"/>
    <w:rsid w:val="0049785D"/>
    <w:rsid w:val="004A7A65"/>
    <w:rsid w:val="004C3916"/>
    <w:rsid w:val="004D0DAA"/>
    <w:rsid w:val="00505999"/>
    <w:rsid w:val="005153A1"/>
    <w:rsid w:val="005361FF"/>
    <w:rsid w:val="00553548"/>
    <w:rsid w:val="00557F0B"/>
    <w:rsid w:val="00565BFF"/>
    <w:rsid w:val="00575D02"/>
    <w:rsid w:val="0058213D"/>
    <w:rsid w:val="005A19CF"/>
    <w:rsid w:val="005B6D8A"/>
    <w:rsid w:val="005C11B9"/>
    <w:rsid w:val="005C5AC0"/>
    <w:rsid w:val="005E11D3"/>
    <w:rsid w:val="005F6846"/>
    <w:rsid w:val="00616B55"/>
    <w:rsid w:val="00625C63"/>
    <w:rsid w:val="00632EA6"/>
    <w:rsid w:val="006562A2"/>
    <w:rsid w:val="006806B2"/>
    <w:rsid w:val="00687A00"/>
    <w:rsid w:val="006903B2"/>
    <w:rsid w:val="006A2585"/>
    <w:rsid w:val="006B069C"/>
    <w:rsid w:val="006B3661"/>
    <w:rsid w:val="006B5FBB"/>
    <w:rsid w:val="006C0319"/>
    <w:rsid w:val="006C24FA"/>
    <w:rsid w:val="006C4A02"/>
    <w:rsid w:val="006E061D"/>
    <w:rsid w:val="006E283A"/>
    <w:rsid w:val="00716308"/>
    <w:rsid w:val="007263E6"/>
    <w:rsid w:val="00757452"/>
    <w:rsid w:val="0078486D"/>
    <w:rsid w:val="007A1C6D"/>
    <w:rsid w:val="007A4087"/>
    <w:rsid w:val="007B5ECA"/>
    <w:rsid w:val="007D53A0"/>
    <w:rsid w:val="007F735C"/>
    <w:rsid w:val="0080128F"/>
    <w:rsid w:val="00801B38"/>
    <w:rsid w:val="00802D01"/>
    <w:rsid w:val="0080555B"/>
    <w:rsid w:val="008108E6"/>
    <w:rsid w:val="00825802"/>
    <w:rsid w:val="00825DDA"/>
    <w:rsid w:val="008442D3"/>
    <w:rsid w:val="008450E9"/>
    <w:rsid w:val="00846FA0"/>
    <w:rsid w:val="008476C7"/>
    <w:rsid w:val="00851B05"/>
    <w:rsid w:val="00876C5A"/>
    <w:rsid w:val="00885C6C"/>
    <w:rsid w:val="008A0EB4"/>
    <w:rsid w:val="008A642D"/>
    <w:rsid w:val="008C57B8"/>
    <w:rsid w:val="008E1598"/>
    <w:rsid w:val="008F7417"/>
    <w:rsid w:val="0091452E"/>
    <w:rsid w:val="0091615A"/>
    <w:rsid w:val="0092487B"/>
    <w:rsid w:val="0096628F"/>
    <w:rsid w:val="00966567"/>
    <w:rsid w:val="0097565D"/>
    <w:rsid w:val="009816C0"/>
    <w:rsid w:val="009825D6"/>
    <w:rsid w:val="009A0F3D"/>
    <w:rsid w:val="009A1F3A"/>
    <w:rsid w:val="009C0AE3"/>
    <w:rsid w:val="009C44F5"/>
    <w:rsid w:val="009D69FE"/>
    <w:rsid w:val="00A0356F"/>
    <w:rsid w:val="00A07FCE"/>
    <w:rsid w:val="00A104F9"/>
    <w:rsid w:val="00A175F0"/>
    <w:rsid w:val="00A2172B"/>
    <w:rsid w:val="00A44830"/>
    <w:rsid w:val="00A4578B"/>
    <w:rsid w:val="00A5271A"/>
    <w:rsid w:val="00A772E3"/>
    <w:rsid w:val="00A9310A"/>
    <w:rsid w:val="00AA0232"/>
    <w:rsid w:val="00AE3497"/>
    <w:rsid w:val="00B40FB0"/>
    <w:rsid w:val="00B414CC"/>
    <w:rsid w:val="00B51D8D"/>
    <w:rsid w:val="00B54376"/>
    <w:rsid w:val="00B72F1C"/>
    <w:rsid w:val="00B8105B"/>
    <w:rsid w:val="00B94094"/>
    <w:rsid w:val="00BA1DEB"/>
    <w:rsid w:val="00BC5995"/>
    <w:rsid w:val="00BD17CA"/>
    <w:rsid w:val="00BF26B2"/>
    <w:rsid w:val="00C1009F"/>
    <w:rsid w:val="00C350D1"/>
    <w:rsid w:val="00C87EF0"/>
    <w:rsid w:val="00CA24E2"/>
    <w:rsid w:val="00CB1D1C"/>
    <w:rsid w:val="00CD7948"/>
    <w:rsid w:val="00CF1428"/>
    <w:rsid w:val="00CF41FF"/>
    <w:rsid w:val="00D07155"/>
    <w:rsid w:val="00D11D1B"/>
    <w:rsid w:val="00D128C0"/>
    <w:rsid w:val="00D157D8"/>
    <w:rsid w:val="00D35CD5"/>
    <w:rsid w:val="00D405E5"/>
    <w:rsid w:val="00D55CAD"/>
    <w:rsid w:val="00D61ECA"/>
    <w:rsid w:val="00D6290F"/>
    <w:rsid w:val="00D700A7"/>
    <w:rsid w:val="00D77ADA"/>
    <w:rsid w:val="00D84E1A"/>
    <w:rsid w:val="00D97F23"/>
    <w:rsid w:val="00DA40C5"/>
    <w:rsid w:val="00DA473B"/>
    <w:rsid w:val="00DB6BCE"/>
    <w:rsid w:val="00DC5D35"/>
    <w:rsid w:val="00DF3F8B"/>
    <w:rsid w:val="00DF7E91"/>
    <w:rsid w:val="00E012BE"/>
    <w:rsid w:val="00E07112"/>
    <w:rsid w:val="00E07CF6"/>
    <w:rsid w:val="00E14956"/>
    <w:rsid w:val="00E27640"/>
    <w:rsid w:val="00E44464"/>
    <w:rsid w:val="00E63E76"/>
    <w:rsid w:val="00E76CDB"/>
    <w:rsid w:val="00E91F4A"/>
    <w:rsid w:val="00E92AA4"/>
    <w:rsid w:val="00E975F7"/>
    <w:rsid w:val="00EA2DD3"/>
    <w:rsid w:val="00EB0BC0"/>
    <w:rsid w:val="00EB722F"/>
    <w:rsid w:val="00EC7AC3"/>
    <w:rsid w:val="00ED1430"/>
    <w:rsid w:val="00EE00A7"/>
    <w:rsid w:val="00EE3127"/>
    <w:rsid w:val="00EF0895"/>
    <w:rsid w:val="00F042B4"/>
    <w:rsid w:val="00F573E9"/>
    <w:rsid w:val="00F61C82"/>
    <w:rsid w:val="00F701FD"/>
    <w:rsid w:val="00F71973"/>
    <w:rsid w:val="00F7364A"/>
    <w:rsid w:val="00F738FA"/>
    <w:rsid w:val="00F84D92"/>
    <w:rsid w:val="00F951DE"/>
    <w:rsid w:val="00F9796D"/>
    <w:rsid w:val="00FA2F91"/>
    <w:rsid w:val="00FC3C1F"/>
    <w:rsid w:val="00FE2D2F"/>
    <w:rsid w:val="00FE3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9F935"/>
  <w15:docId w15:val="{863EA336-392B-4EA5-9613-9430AB5B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tLeast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  <w:jc w:val="both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dy1">
    <w:name w:val="Body 1"/>
    <w:pPr>
      <w:spacing w:after="0" w:line="240" w:lineRule="auto"/>
      <w:outlineLvl w:val="0"/>
    </w:pPr>
    <w:rPr>
      <w:rFonts w:eastAsia="Arial Unicode MS"/>
      <w:color w:val="000000"/>
      <w:sz w:val="24"/>
      <w:szCs w:val="20"/>
      <w:u w:color="000000"/>
    </w:rPr>
  </w:style>
  <w:style w:type="character" w:customStyle="1" w:styleId="BodyTextChar">
    <w:name w:val="Body Text Char"/>
    <w:link w:val="BodyText"/>
    <w:locked/>
    <w:rPr>
      <w:b/>
      <w:bCs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pPr>
      <w:widowControl w:val="0"/>
      <w:shd w:val="clear" w:color="auto" w:fill="FFFFFF"/>
      <w:spacing w:before="1020" w:after="420" w:line="295" w:lineRule="exact"/>
      <w:ind w:hanging="1160"/>
      <w:jc w:val="left"/>
    </w:pPr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Char1">
    <w:name w:val="Body Text Char1"/>
    <w:basedOn w:val="DefaultParagraphFont"/>
    <w:uiPriority w:val="99"/>
    <w:semiHidden/>
    <w:rPr>
      <w:rFonts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paragraph" w:customStyle="1" w:styleId="pdq2pgselectionanchorcontainer">
    <w:name w:val="pdq2pg_selectionanchorcontainer"/>
    <w:basedOn w:val="Normal"/>
    <w:rsid w:val="00EB722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72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722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B72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395CD-C41D-4511-A01C-D5AE334F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TQD</dc:creator>
  <cp:lastModifiedBy>pham manhcuong</cp:lastModifiedBy>
  <cp:revision>79</cp:revision>
  <cp:lastPrinted>2025-12-22T03:03:00Z</cp:lastPrinted>
  <dcterms:created xsi:type="dcterms:W3CDTF">2026-06-28T13:59:00Z</dcterms:created>
  <dcterms:modified xsi:type="dcterms:W3CDTF">2026-07-16T08:50:00Z</dcterms:modified>
</cp:coreProperties>
</file>